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32777A" w:rsidRPr="004E2EF4" w14:paraId="24C6069F" w14:textId="77777777" w:rsidTr="005B46D9">
        <w:tc>
          <w:tcPr>
            <w:tcW w:w="9070" w:type="dxa"/>
          </w:tcPr>
          <w:p w14:paraId="7F8ECFC7" w14:textId="0FF5723F" w:rsidR="0032777A" w:rsidRPr="004E2EF4" w:rsidRDefault="0032777A" w:rsidP="00B302F7">
            <w:pPr>
              <w:pStyle w:val="Nadpis4"/>
              <w:spacing w:after="210" w:line="300" w:lineRule="auto"/>
              <w:rPr>
                <w:rFonts w:ascii="Arial" w:hAnsi="Arial" w:cs="Arial"/>
                <w:sz w:val="24"/>
                <w:szCs w:val="24"/>
              </w:rPr>
            </w:pPr>
            <w:r w:rsidRPr="004E2EF4">
              <w:rPr>
                <w:rFonts w:ascii="Arial" w:hAnsi="Arial" w:cs="Arial"/>
                <w:sz w:val="24"/>
                <w:szCs w:val="24"/>
              </w:rPr>
              <w:t xml:space="preserve">POZVÁNKA NA VALNOU HROMADU SPOLEČNOSTI </w:t>
            </w:r>
            <w:r w:rsidR="004E24C8">
              <w:rPr>
                <w:rFonts w:ascii="Arial" w:hAnsi="Arial" w:cs="Arial"/>
                <w:sz w:val="24"/>
                <w:szCs w:val="24"/>
              </w:rPr>
              <w:t>VEBA BAZIN RICHE</w:t>
            </w:r>
            <w:r w:rsidR="00F636CF" w:rsidRPr="00F636CF">
              <w:rPr>
                <w:rFonts w:ascii="Arial" w:hAnsi="Arial" w:cs="Arial"/>
                <w:sz w:val="24"/>
                <w:szCs w:val="24"/>
              </w:rPr>
              <w:t>, a.s.</w:t>
            </w:r>
          </w:p>
        </w:tc>
      </w:tr>
      <w:tr w:rsidR="0032777A" w:rsidRPr="004E2EF4" w14:paraId="6BE5F3AA" w14:textId="77777777" w:rsidTr="005B46D9">
        <w:trPr>
          <w:trHeight w:val="93"/>
        </w:trPr>
        <w:tc>
          <w:tcPr>
            <w:tcW w:w="9070" w:type="dxa"/>
          </w:tcPr>
          <w:p w14:paraId="7BF5439E" w14:textId="4A2DB0B6" w:rsidR="009A7788" w:rsidRDefault="00FF33E3" w:rsidP="009A7788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Správní rada společnosti</w:t>
            </w:r>
          </w:p>
          <w:p w14:paraId="1D6732ED" w14:textId="3838F3FF" w:rsidR="009A7788" w:rsidRPr="009A7788" w:rsidRDefault="00FF33E3" w:rsidP="009A7788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A7788">
              <w:rPr>
                <w:rFonts w:ascii="Arial" w:hAnsi="Arial" w:cs="Arial"/>
                <w:b/>
                <w:bCs/>
                <w:sz w:val="20"/>
                <w:szCs w:val="20"/>
              </w:rPr>
              <w:t>Veba</w:t>
            </w:r>
            <w:proofErr w:type="spellEnd"/>
            <w:r w:rsidRPr="009A7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7788">
              <w:rPr>
                <w:rFonts w:ascii="Arial" w:hAnsi="Arial" w:cs="Arial"/>
                <w:b/>
                <w:bCs/>
                <w:sz w:val="20"/>
                <w:szCs w:val="20"/>
              </w:rPr>
              <w:t>Bazin</w:t>
            </w:r>
            <w:proofErr w:type="spellEnd"/>
            <w:r w:rsidRPr="009A7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7788">
              <w:rPr>
                <w:rFonts w:ascii="Arial" w:hAnsi="Arial" w:cs="Arial"/>
                <w:b/>
                <w:bCs/>
                <w:sz w:val="20"/>
                <w:szCs w:val="20"/>
              </w:rPr>
              <w:t>Riche</w:t>
            </w:r>
            <w:proofErr w:type="spellEnd"/>
            <w:r w:rsidRPr="009A7788"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  <w:p w14:paraId="4D94BECF" w14:textId="77777777" w:rsidR="009A7788" w:rsidRDefault="00FF33E3" w:rsidP="009A7788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3E3">
              <w:rPr>
                <w:rFonts w:ascii="Arial" w:hAnsi="Arial" w:cs="Arial"/>
                <w:sz w:val="20"/>
                <w:szCs w:val="20"/>
              </w:rPr>
              <w:t>IČO 46504648</w:t>
            </w:r>
          </w:p>
          <w:p w14:paraId="3ECC2ADC" w14:textId="77777777" w:rsidR="009A7788" w:rsidRDefault="00FF33E3" w:rsidP="009A7788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3E3">
              <w:rPr>
                <w:rFonts w:ascii="Arial" w:hAnsi="Arial" w:cs="Arial"/>
                <w:sz w:val="20"/>
                <w:szCs w:val="20"/>
              </w:rPr>
              <w:t xml:space="preserve">se sídlem Křížová 1018/6,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33E3">
              <w:rPr>
                <w:rFonts w:ascii="Arial" w:hAnsi="Arial" w:cs="Arial"/>
                <w:sz w:val="20"/>
                <w:szCs w:val="20"/>
              </w:rPr>
              <w:t>míchov, 150 00 Praha 5</w:t>
            </w:r>
          </w:p>
          <w:p w14:paraId="57EB328C" w14:textId="562C9C73" w:rsidR="0014509D" w:rsidRDefault="00FF33E3" w:rsidP="0014509D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3E3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Pr="00FF33E3">
              <w:rPr>
                <w:rFonts w:ascii="Arial" w:hAnsi="Arial" w:cs="Arial"/>
                <w:sz w:val="20"/>
                <w:szCs w:val="20"/>
              </w:rPr>
              <w:t>. zn. B 6429 zapsaná v obchodním rejstříku vedeném u Městského soudu v</w:t>
            </w:r>
            <w:r w:rsidR="0014509D">
              <w:rPr>
                <w:rFonts w:ascii="Arial" w:hAnsi="Arial" w:cs="Arial"/>
                <w:sz w:val="20"/>
                <w:szCs w:val="20"/>
              </w:rPr>
              <w:t> </w:t>
            </w:r>
            <w:r w:rsidRPr="00FF33E3">
              <w:rPr>
                <w:rFonts w:ascii="Arial" w:hAnsi="Arial" w:cs="Arial"/>
                <w:sz w:val="20"/>
                <w:szCs w:val="20"/>
              </w:rPr>
              <w:t>Praze</w:t>
            </w:r>
          </w:p>
          <w:p w14:paraId="7EEFB925" w14:textId="77777777" w:rsidR="0014509D" w:rsidRDefault="0014509D" w:rsidP="0014509D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A0ADA" w14:textId="77777777" w:rsidR="0032777A" w:rsidRDefault="0014509D" w:rsidP="0014509D">
            <w:pPr>
              <w:spacing w:before="200"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EF4">
              <w:rPr>
                <w:rFonts w:ascii="Arial" w:hAnsi="Arial" w:cs="Arial"/>
                <w:sz w:val="20"/>
                <w:szCs w:val="20"/>
              </w:rPr>
              <w:t>(dále jen „</w:t>
            </w:r>
            <w:r w:rsidRPr="004E2EF4">
              <w:rPr>
                <w:rFonts w:ascii="Arial" w:hAnsi="Arial" w:cs="Arial"/>
                <w:b/>
                <w:sz w:val="20"/>
                <w:szCs w:val="20"/>
              </w:rPr>
              <w:t>Společnost</w:t>
            </w:r>
            <w:r w:rsidRPr="004E2EF4">
              <w:rPr>
                <w:rFonts w:ascii="Arial" w:hAnsi="Arial" w:cs="Arial"/>
                <w:sz w:val="20"/>
                <w:szCs w:val="20"/>
              </w:rPr>
              <w:t>“)</w:t>
            </w:r>
          </w:p>
          <w:p w14:paraId="1B4CC9C9" w14:textId="2EF714F1" w:rsidR="0014509D" w:rsidRPr="004E2EF4" w:rsidRDefault="0014509D" w:rsidP="00971F49">
            <w:pPr>
              <w:spacing w:before="200"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77A" w:rsidRPr="004E2EF4" w14:paraId="692969BA" w14:textId="77777777" w:rsidTr="005B46D9">
        <w:trPr>
          <w:trHeight w:val="87"/>
        </w:trPr>
        <w:tc>
          <w:tcPr>
            <w:tcW w:w="9070" w:type="dxa"/>
          </w:tcPr>
          <w:p w14:paraId="09B112C3" w14:textId="77777777" w:rsidR="0032777A" w:rsidRPr="004E2EF4" w:rsidRDefault="0032777A" w:rsidP="00207E59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EF4">
              <w:rPr>
                <w:rFonts w:ascii="Arial" w:hAnsi="Arial" w:cs="Arial"/>
                <w:sz w:val="20"/>
                <w:szCs w:val="20"/>
              </w:rPr>
              <w:t xml:space="preserve">tímto svolává </w:t>
            </w:r>
          </w:p>
        </w:tc>
      </w:tr>
      <w:tr w:rsidR="0032777A" w:rsidRPr="004E2EF4" w14:paraId="00F5C1D8" w14:textId="77777777" w:rsidTr="005B46D9">
        <w:trPr>
          <w:trHeight w:val="87"/>
        </w:trPr>
        <w:tc>
          <w:tcPr>
            <w:tcW w:w="9070" w:type="dxa"/>
          </w:tcPr>
          <w:p w14:paraId="74C9E8D2" w14:textId="3F57025E" w:rsidR="0032777A" w:rsidRPr="004E2EF4" w:rsidRDefault="00A4250C" w:rsidP="00207E59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5E2D">
              <w:rPr>
                <w:rFonts w:ascii="Arial" w:hAnsi="Arial" w:cs="Arial"/>
                <w:sz w:val="20"/>
                <w:szCs w:val="20"/>
              </w:rPr>
              <w:t xml:space="preserve">řádnou </w:t>
            </w:r>
            <w:r w:rsidR="0032777A" w:rsidRPr="004E5E2D">
              <w:rPr>
                <w:rFonts w:ascii="Arial" w:hAnsi="Arial" w:cs="Arial"/>
                <w:sz w:val="20"/>
                <w:szCs w:val="20"/>
              </w:rPr>
              <w:t>valnou hromadu</w:t>
            </w:r>
            <w:r w:rsidR="0032777A" w:rsidRPr="004E2E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777A" w:rsidRPr="004E2EF4">
              <w:rPr>
                <w:rFonts w:ascii="Arial" w:hAnsi="Arial" w:cs="Arial"/>
                <w:bCs/>
                <w:sz w:val="20"/>
                <w:szCs w:val="20"/>
              </w:rPr>
              <w:t>Společnosti,</w:t>
            </w:r>
            <w:r w:rsidR="0032777A" w:rsidRPr="004E2E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2777A" w:rsidRPr="004E2EF4" w14:paraId="5ADE07B5" w14:textId="77777777" w:rsidTr="005B46D9">
        <w:trPr>
          <w:trHeight w:val="87"/>
        </w:trPr>
        <w:tc>
          <w:tcPr>
            <w:tcW w:w="9070" w:type="dxa"/>
          </w:tcPr>
          <w:p w14:paraId="6F1A3131" w14:textId="5354CF27" w:rsidR="0032777A" w:rsidRPr="004E2EF4" w:rsidRDefault="0032777A" w:rsidP="00207E59">
            <w:pPr>
              <w:tabs>
                <w:tab w:val="left" w:pos="1134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EF4">
              <w:rPr>
                <w:rFonts w:ascii="Arial" w:hAnsi="Arial" w:cs="Arial"/>
                <w:sz w:val="20"/>
                <w:szCs w:val="20"/>
              </w:rPr>
              <w:t xml:space="preserve">jež se bude konat </w:t>
            </w:r>
            <w:r w:rsidRPr="00BB1C2E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053BF2">
              <w:rPr>
                <w:rFonts w:ascii="Arial" w:hAnsi="Arial" w:cs="Arial"/>
                <w:sz w:val="20"/>
                <w:szCs w:val="20"/>
              </w:rPr>
              <w:t>29</w:t>
            </w:r>
            <w:r w:rsidR="004E0765" w:rsidRPr="00BB1C2E">
              <w:rPr>
                <w:rFonts w:ascii="Arial" w:hAnsi="Arial" w:cs="Arial"/>
                <w:sz w:val="20"/>
                <w:szCs w:val="20"/>
              </w:rPr>
              <w:t>.</w:t>
            </w:r>
            <w:r w:rsidR="00852A3F">
              <w:rPr>
                <w:rFonts w:ascii="Arial" w:hAnsi="Arial" w:cs="Arial"/>
                <w:sz w:val="20"/>
                <w:szCs w:val="20"/>
              </w:rPr>
              <w:t>1</w:t>
            </w:r>
            <w:r w:rsidR="00053BF2">
              <w:rPr>
                <w:rFonts w:ascii="Arial" w:hAnsi="Arial" w:cs="Arial"/>
                <w:sz w:val="20"/>
                <w:szCs w:val="20"/>
              </w:rPr>
              <w:t>2</w:t>
            </w:r>
            <w:r w:rsidR="004E0765" w:rsidRPr="00BB1C2E">
              <w:rPr>
                <w:rFonts w:ascii="Arial" w:hAnsi="Arial" w:cs="Arial"/>
                <w:sz w:val="20"/>
                <w:szCs w:val="20"/>
              </w:rPr>
              <w:t>.2025</w:t>
            </w:r>
            <w:r w:rsidRPr="00BB1C2E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783BDC" w:rsidRPr="00BB1C2E">
              <w:rPr>
                <w:rFonts w:ascii="Arial" w:hAnsi="Arial" w:cs="Arial"/>
                <w:sz w:val="20"/>
                <w:szCs w:val="20"/>
              </w:rPr>
              <w:t> </w:t>
            </w:r>
            <w:r w:rsidR="00663694">
              <w:rPr>
                <w:rFonts w:ascii="Arial" w:hAnsi="Arial" w:cs="Arial"/>
                <w:sz w:val="20"/>
                <w:szCs w:val="20"/>
              </w:rPr>
              <w:t>9</w:t>
            </w:r>
            <w:r w:rsidR="00783BDC" w:rsidRPr="00BB1C2E">
              <w:rPr>
                <w:rFonts w:ascii="Arial" w:hAnsi="Arial" w:cs="Arial"/>
                <w:sz w:val="20"/>
                <w:szCs w:val="20"/>
              </w:rPr>
              <w:t>:</w:t>
            </w:r>
            <w:r w:rsidR="00663694">
              <w:rPr>
                <w:rFonts w:ascii="Arial" w:hAnsi="Arial" w:cs="Arial"/>
                <w:sz w:val="20"/>
                <w:szCs w:val="20"/>
              </w:rPr>
              <w:t>3</w:t>
            </w:r>
            <w:r w:rsidR="00783BDC" w:rsidRPr="00BB1C2E">
              <w:rPr>
                <w:rFonts w:ascii="Arial" w:hAnsi="Arial" w:cs="Arial"/>
                <w:sz w:val="20"/>
                <w:szCs w:val="20"/>
              </w:rPr>
              <w:t>0</w:t>
            </w:r>
            <w:r w:rsidRPr="00BB1C2E">
              <w:rPr>
                <w:rFonts w:ascii="Arial" w:hAnsi="Arial" w:cs="Arial"/>
                <w:sz w:val="20"/>
                <w:szCs w:val="20"/>
              </w:rPr>
              <w:t xml:space="preserve"> hodin</w:t>
            </w:r>
            <w:r w:rsidRPr="004E2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777A" w:rsidRPr="004E2EF4" w14:paraId="45733977" w14:textId="77777777" w:rsidTr="005B46D9">
        <w:trPr>
          <w:trHeight w:val="87"/>
        </w:trPr>
        <w:tc>
          <w:tcPr>
            <w:tcW w:w="9070" w:type="dxa"/>
          </w:tcPr>
          <w:p w14:paraId="020CF081" w14:textId="03892E11" w:rsidR="0032777A" w:rsidRPr="004E2EF4" w:rsidRDefault="0032777A" w:rsidP="00E32BA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B3">
              <w:rPr>
                <w:rFonts w:ascii="Arial" w:hAnsi="Arial" w:cs="Arial"/>
                <w:sz w:val="20"/>
                <w:szCs w:val="20"/>
              </w:rPr>
              <w:t xml:space="preserve">na adrese </w:t>
            </w:r>
            <w:r w:rsidR="004E2EF4" w:rsidRPr="00C91FB3">
              <w:rPr>
                <w:rFonts w:ascii="Arial" w:hAnsi="Arial" w:cs="Arial"/>
                <w:sz w:val="20"/>
                <w:szCs w:val="20"/>
              </w:rPr>
              <w:t>Pujmanové 1753/10a</w:t>
            </w:r>
            <w:r w:rsidRPr="00C91FB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438BD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4E2EF4" w:rsidRPr="00C91FB3">
              <w:rPr>
                <w:rFonts w:ascii="Arial" w:hAnsi="Arial" w:cs="Arial"/>
                <w:sz w:val="20"/>
                <w:szCs w:val="20"/>
              </w:rPr>
              <w:t>140</w:t>
            </w:r>
            <w:r w:rsidRPr="00C91FB3">
              <w:rPr>
                <w:rFonts w:ascii="Arial" w:hAnsi="Arial" w:cs="Arial"/>
                <w:sz w:val="20"/>
                <w:szCs w:val="20"/>
              </w:rPr>
              <w:t xml:space="preserve"> 00</w:t>
            </w:r>
            <w:r w:rsidR="004E2EF4" w:rsidRPr="00C91FB3">
              <w:rPr>
                <w:rFonts w:ascii="Arial" w:hAnsi="Arial" w:cs="Arial"/>
                <w:sz w:val="20"/>
                <w:szCs w:val="20"/>
              </w:rPr>
              <w:t xml:space="preserve"> Praha 4</w:t>
            </w:r>
            <w:r w:rsidRPr="00C91FB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E2EF4" w:rsidRPr="00C91FB3">
              <w:rPr>
                <w:rFonts w:ascii="Arial" w:hAnsi="Arial" w:cs="Arial"/>
                <w:sz w:val="20"/>
                <w:szCs w:val="20"/>
              </w:rPr>
              <w:t>Česká republika</w:t>
            </w:r>
            <w:r w:rsidR="00550950">
              <w:rPr>
                <w:rFonts w:ascii="Arial" w:hAnsi="Arial" w:cs="Arial"/>
                <w:sz w:val="20"/>
                <w:szCs w:val="20"/>
              </w:rPr>
              <w:t>, a to v devátém patře</w:t>
            </w:r>
            <w:r w:rsidRPr="00C91F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777A" w:rsidRPr="004E2EF4" w14:paraId="1FED4F8C" w14:textId="77777777" w:rsidTr="005B46D9">
        <w:trPr>
          <w:trHeight w:val="87"/>
        </w:trPr>
        <w:tc>
          <w:tcPr>
            <w:tcW w:w="9070" w:type="dxa"/>
          </w:tcPr>
          <w:p w14:paraId="70705156" w14:textId="77777777" w:rsidR="0032777A" w:rsidRPr="004E2EF4" w:rsidRDefault="0032777A" w:rsidP="00207E59">
            <w:pPr>
              <w:tabs>
                <w:tab w:val="left" w:pos="1134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4E2EF4">
              <w:rPr>
                <w:rFonts w:ascii="Arial" w:hAnsi="Arial" w:cs="Arial"/>
                <w:sz w:val="20"/>
                <w:szCs w:val="20"/>
              </w:rPr>
              <w:t>POŘAD JEDNÁNÍ VALNÉ HROMADY:</w:t>
            </w:r>
          </w:p>
        </w:tc>
      </w:tr>
      <w:tr w:rsidR="0032777A" w:rsidRPr="004E2EF4" w14:paraId="2F50C991" w14:textId="77777777" w:rsidTr="005B46D9">
        <w:trPr>
          <w:trHeight w:val="87"/>
        </w:trPr>
        <w:tc>
          <w:tcPr>
            <w:tcW w:w="9070" w:type="dxa"/>
          </w:tcPr>
          <w:p w14:paraId="5C864682" w14:textId="77777777" w:rsidR="0032777A" w:rsidRPr="00C012E4" w:rsidRDefault="0032777A" w:rsidP="00207E59">
            <w:pPr>
              <w:pStyle w:val="textvnitnhopedpisu"/>
              <w:numPr>
                <w:ilvl w:val="0"/>
                <w:numId w:val="7"/>
              </w:numPr>
              <w:tabs>
                <w:tab w:val="num" w:pos="357"/>
              </w:tabs>
              <w:spacing w:after="200" w:line="276" w:lineRule="auto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EF4">
              <w:rPr>
                <w:rFonts w:ascii="Arial" w:hAnsi="Arial" w:cs="Arial"/>
                <w:b/>
                <w:color w:val="000000"/>
                <w:sz w:val="20"/>
                <w:szCs w:val="20"/>
              </w:rPr>
              <w:t>Zahájení</w:t>
            </w:r>
            <w:r w:rsidR="008E29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valné hromady, volba </w:t>
            </w:r>
            <w:r w:rsidR="008E298D" w:rsidRPr="008E298D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předsedy, zapisovatele, ověřovatele zápisu a osoby pověřené sčítáním hlasů</w:t>
            </w:r>
          </w:p>
          <w:p w14:paraId="48C66851" w14:textId="77777777" w:rsidR="00C012E4" w:rsidRPr="00AE21E4" w:rsidRDefault="00C012E4" w:rsidP="00C012E4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21E4">
              <w:rPr>
                <w:rFonts w:ascii="Arial" w:hAnsi="Arial" w:cs="Arial"/>
                <w:bCs/>
                <w:sz w:val="20"/>
                <w:szCs w:val="20"/>
                <w:u w:val="single"/>
              </w:rPr>
              <w:t>Návrh usnesení</w:t>
            </w:r>
            <w:r w:rsidRPr="00AE21E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6E1178B6" w14:textId="7E9CC15D" w:rsidR="00C012E4" w:rsidRPr="00852A3F" w:rsidRDefault="00C012E4" w:rsidP="00C012E4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„Valná hromada volí </w:t>
            </w:r>
            <w:bookmarkStart w:id="0" w:name="_Hlk212031446"/>
            <w:r w:rsidRPr="00852A3F">
              <w:rPr>
                <w:rFonts w:ascii="Arial" w:hAnsi="Arial" w:cs="Arial"/>
                <w:bCs/>
                <w:sz w:val="20"/>
                <w:szCs w:val="20"/>
              </w:rPr>
              <w:t>předsedu, zapisovatele, ověřovatele zápisu, osobu pověřenou sčítáním hlasů.“</w:t>
            </w:r>
            <w:bookmarkEnd w:id="0"/>
          </w:p>
        </w:tc>
      </w:tr>
      <w:tr w:rsidR="0032777A" w:rsidRPr="004E2EF4" w14:paraId="489C64D6" w14:textId="77777777" w:rsidTr="005B46D9">
        <w:trPr>
          <w:trHeight w:val="87"/>
        </w:trPr>
        <w:tc>
          <w:tcPr>
            <w:tcW w:w="9070" w:type="dxa"/>
          </w:tcPr>
          <w:p w14:paraId="5101AED1" w14:textId="72F69189" w:rsidR="0032777A" w:rsidRPr="004E2EF4" w:rsidRDefault="00D50497" w:rsidP="00207E59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497">
              <w:rPr>
                <w:rFonts w:ascii="Arial" w:hAnsi="Arial" w:cs="Arial"/>
                <w:sz w:val="20"/>
                <w:szCs w:val="20"/>
                <w:u w:val="single"/>
              </w:rPr>
              <w:t>Odůvodnění</w:t>
            </w:r>
            <w:r w:rsidRPr="00D50497">
              <w:rPr>
                <w:rFonts w:ascii="Arial" w:hAnsi="Arial" w:cs="Arial"/>
                <w:sz w:val="20"/>
                <w:szCs w:val="20"/>
              </w:rPr>
              <w:t xml:space="preserve">: Valná hromada volí své funkcionáře v souladu s ustanovením § 422 </w:t>
            </w:r>
            <w:r w:rsidR="00736576">
              <w:rPr>
                <w:rFonts w:ascii="Arial" w:hAnsi="Arial" w:cs="Arial"/>
                <w:sz w:val="20"/>
                <w:szCs w:val="20"/>
              </w:rPr>
              <w:t xml:space="preserve">zákona </w:t>
            </w:r>
            <w:r w:rsidR="008E298D">
              <w:rPr>
                <w:rFonts w:ascii="Arial" w:hAnsi="Arial" w:cs="Arial"/>
                <w:sz w:val="20"/>
                <w:szCs w:val="20"/>
              </w:rPr>
              <w:t>č</w:t>
            </w:r>
            <w:r w:rsidR="008E298D" w:rsidRPr="008E298D">
              <w:rPr>
                <w:rFonts w:ascii="Arial" w:hAnsi="Arial" w:cs="Arial"/>
                <w:sz w:val="20"/>
                <w:szCs w:val="20"/>
              </w:rPr>
              <w:t>.</w:t>
            </w:r>
            <w:r w:rsidR="008E298D">
              <w:rPr>
                <w:rFonts w:ascii="Arial" w:hAnsi="Arial" w:cs="Arial"/>
                <w:sz w:val="20"/>
                <w:szCs w:val="20"/>
              </w:rPr>
              <w:t> </w:t>
            </w:r>
            <w:r w:rsidR="008E298D" w:rsidRPr="008E298D">
              <w:rPr>
                <w:rFonts w:ascii="Arial" w:hAnsi="Arial" w:cs="Arial"/>
                <w:sz w:val="20"/>
                <w:szCs w:val="20"/>
              </w:rPr>
              <w:t>90/2012 Sb., zákona o obchodních společnostech a družstvech (dále jen „</w:t>
            </w:r>
            <w:r w:rsidR="008E298D" w:rsidRPr="00971F49">
              <w:rPr>
                <w:rFonts w:ascii="Arial" w:hAnsi="Arial" w:cs="Arial"/>
                <w:b/>
                <w:bCs/>
                <w:sz w:val="20"/>
                <w:szCs w:val="20"/>
              </w:rPr>
              <w:t>ZOK</w:t>
            </w:r>
            <w:r w:rsidR="008E298D" w:rsidRPr="008E298D">
              <w:rPr>
                <w:rFonts w:ascii="Arial" w:hAnsi="Arial" w:cs="Arial"/>
                <w:sz w:val="20"/>
                <w:szCs w:val="20"/>
              </w:rPr>
              <w:t>“)</w:t>
            </w:r>
            <w:r w:rsidR="008E29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AB5" w:rsidRPr="004E2EF4" w14:paraId="2264DD18" w14:textId="77777777" w:rsidTr="005B46D9">
        <w:trPr>
          <w:trHeight w:val="87"/>
        </w:trPr>
        <w:tc>
          <w:tcPr>
            <w:tcW w:w="9070" w:type="dxa"/>
          </w:tcPr>
          <w:p w14:paraId="468D3FD2" w14:textId="17DFEE58" w:rsidR="00852A3F" w:rsidRPr="00852A3F" w:rsidRDefault="00852A3F" w:rsidP="00053BF2">
            <w:pPr>
              <w:pStyle w:val="textvnitnhopedpisu"/>
              <w:numPr>
                <w:ilvl w:val="0"/>
                <w:numId w:val="7"/>
              </w:numPr>
              <w:tabs>
                <w:tab w:val="num" w:pos="357"/>
              </w:tabs>
              <w:spacing w:after="200" w:line="276" w:lineRule="auto"/>
              <w:ind w:left="357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3BF2">
              <w:rPr>
                <w:rFonts w:ascii="Arial" w:hAnsi="Arial" w:cs="Arial"/>
                <w:b/>
                <w:color w:val="000000"/>
                <w:sz w:val="20"/>
                <w:szCs w:val="20"/>
              </w:rPr>
              <w:t>Určení</w:t>
            </w:r>
            <w:r w:rsidRPr="00852A3F">
              <w:rPr>
                <w:rFonts w:ascii="Arial" w:hAnsi="Arial" w:cs="Arial"/>
                <w:b/>
                <w:sz w:val="20"/>
                <w:szCs w:val="20"/>
              </w:rPr>
              <w:t xml:space="preserve">, že pan Otakar </w:t>
            </w:r>
            <w:proofErr w:type="spellStart"/>
            <w:r w:rsidRPr="00852A3F">
              <w:rPr>
                <w:rFonts w:ascii="Arial" w:hAnsi="Arial" w:cs="Arial"/>
                <w:b/>
                <w:sz w:val="20"/>
                <w:szCs w:val="20"/>
              </w:rPr>
              <w:t>Moťka</w:t>
            </w:r>
            <w:proofErr w:type="spellEnd"/>
            <w:r w:rsidRPr="00852A3F">
              <w:rPr>
                <w:rFonts w:ascii="Arial" w:hAnsi="Arial" w:cs="Arial"/>
                <w:b/>
                <w:sz w:val="20"/>
                <w:szCs w:val="20"/>
              </w:rPr>
              <w:t>, dat. nar. 16. ledna 1958, bytem Radnické schody 172/7, Hradčany, 118 00 Praha 1, je hlavním akcionářem Společnosti</w:t>
            </w:r>
          </w:p>
          <w:p w14:paraId="46A210B9" w14:textId="77777777" w:rsidR="00852A3F" w:rsidRPr="00AE21E4" w:rsidRDefault="00852A3F" w:rsidP="00852A3F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21E4">
              <w:rPr>
                <w:rFonts w:ascii="Arial" w:hAnsi="Arial" w:cs="Arial"/>
                <w:bCs/>
                <w:sz w:val="20"/>
                <w:szCs w:val="20"/>
                <w:u w:val="single"/>
              </w:rPr>
              <w:t>Návrh usnesení</w:t>
            </w:r>
            <w:r w:rsidRPr="00AE21E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61C465FE" w14:textId="78F476B5" w:rsidR="00852A3F" w:rsidRPr="00852A3F" w:rsidRDefault="00852A3F" w:rsidP="00852A3F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Valná hromada Společnosti určuje, že hlavním akcionářem Společnosti ve smyslu § 375 ZOK, je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pan 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Otakar </w:t>
            </w:r>
            <w:proofErr w:type="spellStart"/>
            <w:r w:rsidRPr="00852A3F">
              <w:rPr>
                <w:rFonts w:ascii="Arial" w:hAnsi="Arial" w:cs="Arial"/>
                <w:bCs/>
                <w:sz w:val="20"/>
                <w:szCs w:val="20"/>
              </w:rPr>
              <w:t>Moťka</w:t>
            </w:r>
            <w:proofErr w:type="spellEnd"/>
            <w:r w:rsidRPr="00852A3F">
              <w:rPr>
                <w:rFonts w:ascii="Arial" w:hAnsi="Arial" w:cs="Arial"/>
                <w:bCs/>
                <w:sz w:val="20"/>
                <w:szCs w:val="20"/>
              </w:rPr>
              <w:t>, dat. nar. 16. ledna 1958, bytem Radnické schody 172/7, Hradčany, 118 00 Praha 1 (dále jen „</w:t>
            </w:r>
            <w:r w:rsidRPr="00852A3F">
              <w:rPr>
                <w:rFonts w:ascii="Arial" w:hAnsi="Arial" w:cs="Arial"/>
                <w:b/>
                <w:sz w:val="20"/>
                <w:szCs w:val="20"/>
              </w:rPr>
              <w:t>Hlavní akcionář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“). Ke dni podání žádosti o svolání valné hromady 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>polečnosti Hlavním akcionářem, jakož i k rozhodnému dni této valné hromady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 vlastní Hlavní akcionář </w:t>
            </w:r>
            <w:r w:rsidR="00476379" w:rsidRPr="00476379">
              <w:rPr>
                <w:rFonts w:ascii="Arial" w:hAnsi="Arial" w:cs="Arial"/>
                <w:bCs/>
                <w:sz w:val="20"/>
                <w:szCs w:val="20"/>
              </w:rPr>
              <w:t>36 966</w:t>
            </w:r>
            <w:r w:rsidR="00476379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476379" w:rsidRPr="00476379">
              <w:rPr>
                <w:rFonts w:ascii="Arial" w:hAnsi="Arial" w:cs="Arial"/>
                <w:bCs/>
                <w:sz w:val="20"/>
                <w:szCs w:val="20"/>
              </w:rPr>
              <w:t>515</w:t>
            </w:r>
            <w:r w:rsidR="004763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kusů kmenových akcií na jméno emitovaných Společností v listinné podobě ve jmenovité hodnotě každé akcie 1,00 Kč (tzn. ve jmenovité hodnotě, která tvoří </w:t>
            </w:r>
            <w:r w:rsidR="00476379" w:rsidRPr="00476379">
              <w:rPr>
                <w:rFonts w:ascii="Arial" w:hAnsi="Arial" w:cs="Arial"/>
                <w:bCs/>
                <w:sz w:val="20"/>
                <w:szCs w:val="20"/>
              </w:rPr>
              <w:t>98,36</w:t>
            </w:r>
            <w:r w:rsidR="004763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% základního kapitálu 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polečnosti), s nimiž je spojen </w:t>
            </w:r>
            <w:r w:rsidR="00476379" w:rsidRPr="00476379">
              <w:rPr>
                <w:rFonts w:ascii="Arial" w:hAnsi="Arial" w:cs="Arial"/>
                <w:bCs/>
                <w:sz w:val="20"/>
                <w:szCs w:val="20"/>
              </w:rPr>
              <w:t xml:space="preserve">98,36 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>% podíl na hlasovacích právech ve Společnosti.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  <w:p w14:paraId="5C1B67AA" w14:textId="6A73768C" w:rsidR="006A7AB5" w:rsidRPr="006A7AB5" w:rsidRDefault="006A7AB5" w:rsidP="00852A3F">
            <w:pPr>
              <w:pStyle w:val="textvnitnhopedpisu"/>
              <w:spacing w:after="200" w:line="276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7AB5">
              <w:rPr>
                <w:rFonts w:ascii="Arial" w:hAnsi="Arial" w:cs="Arial"/>
                <w:bCs/>
                <w:sz w:val="20"/>
                <w:szCs w:val="20"/>
                <w:u w:val="single"/>
              </w:rPr>
              <w:t>Odůvodnění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 xml:space="preserve">V souladu s § 375 ZOK je hlavním akcionářem takový akcionář, který vlastní akcie emitované </w:t>
            </w:r>
            <w:r w:rsidR="00852A3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>polečností, (i) jejichž souhrnná jmenovitá hodnota činí alespoň 90 % základního kapitálu společnosti, na nějž byly vydány akcie s hlasovacími právy, a (</w:t>
            </w:r>
            <w:proofErr w:type="spellStart"/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>ii</w:t>
            </w:r>
            <w:proofErr w:type="spellEnd"/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>) s nimiž je spojen alespoň 90% podíl na hlasovacích právech ve společnosti.</w:t>
            </w:r>
          </w:p>
        </w:tc>
      </w:tr>
      <w:tr w:rsidR="00B1168A" w:rsidRPr="004E2EF4" w14:paraId="516C0551" w14:textId="77777777" w:rsidTr="005B46D9">
        <w:trPr>
          <w:trHeight w:val="87"/>
        </w:trPr>
        <w:tc>
          <w:tcPr>
            <w:tcW w:w="9070" w:type="dxa"/>
          </w:tcPr>
          <w:p w14:paraId="0F055979" w14:textId="2D60DB4D" w:rsidR="00852A3F" w:rsidRPr="00852A3F" w:rsidRDefault="00852A3F" w:rsidP="00852A3F">
            <w:pPr>
              <w:pStyle w:val="textvnitnhopedpisu"/>
              <w:numPr>
                <w:ilvl w:val="0"/>
                <w:numId w:val="7"/>
              </w:numPr>
              <w:tabs>
                <w:tab w:val="clear" w:pos="-1058"/>
              </w:tabs>
              <w:spacing w:after="200" w:line="276" w:lineRule="auto"/>
              <w:ind w:left="317" w:hanging="284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52A3F">
              <w:rPr>
                <w:rFonts w:ascii="Arial" w:hAnsi="Arial" w:cs="Arial"/>
                <w:b/>
                <w:sz w:val="20"/>
                <w:szCs w:val="20"/>
              </w:rPr>
              <w:t xml:space="preserve">ozhodnutí o přechodu všech ostatních účastnických cenných papírů na pana Otakara </w:t>
            </w:r>
            <w:proofErr w:type="spellStart"/>
            <w:r w:rsidRPr="00852A3F">
              <w:rPr>
                <w:rFonts w:ascii="Arial" w:hAnsi="Arial" w:cs="Arial"/>
                <w:b/>
                <w:sz w:val="20"/>
                <w:szCs w:val="20"/>
              </w:rPr>
              <w:t>Moťku</w:t>
            </w:r>
            <w:proofErr w:type="spellEnd"/>
            <w:r w:rsidRPr="00852A3F">
              <w:rPr>
                <w:rFonts w:ascii="Arial" w:hAnsi="Arial" w:cs="Arial"/>
                <w:b/>
                <w:sz w:val="20"/>
                <w:szCs w:val="20"/>
              </w:rPr>
              <w:t xml:space="preserve">, dat. nar. 16. ledna 1958, bytem Radnické schody 172/7, Hradčany, 118 00 Praha </w:t>
            </w:r>
          </w:p>
          <w:p w14:paraId="45C2E14B" w14:textId="77777777" w:rsidR="00852A3F" w:rsidRDefault="00852A3F" w:rsidP="00852A3F">
            <w:pPr>
              <w:pStyle w:val="Odstavecseseznamem"/>
              <w:tabs>
                <w:tab w:val="left" w:leader="dot" w:pos="1985"/>
                <w:tab w:val="left" w:leader="dot" w:pos="3402"/>
              </w:tabs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852A3F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u w:val="single"/>
                <w:lang w:eastAsia="en-US"/>
              </w:rPr>
              <w:t>Návrh usnesení:</w:t>
            </w:r>
            <w:r w:rsidRPr="00542B8E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14:paraId="0D42DA11" w14:textId="77777777" w:rsidR="00852A3F" w:rsidRDefault="00852A3F" w:rsidP="00852A3F">
            <w:pPr>
              <w:pStyle w:val="Odstavecseseznamem"/>
              <w:tabs>
                <w:tab w:val="left" w:leader="dot" w:pos="1985"/>
                <w:tab w:val="left" w:leader="dot" w:pos="3402"/>
              </w:tabs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</w:p>
          <w:p w14:paraId="6EBA7A51" w14:textId="7367CA6D" w:rsidR="00DA3343" w:rsidRDefault="00852A3F" w:rsidP="00053BF2">
            <w:pPr>
              <w:pStyle w:val="Odstavecseseznamem"/>
              <w:tabs>
                <w:tab w:val="left" w:leader="dot" w:pos="1985"/>
                <w:tab w:val="left" w:leader="dot" w:pos="3402"/>
              </w:tabs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542B8E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lastRenderedPageBreak/>
              <w:t xml:space="preserve">„Valná hromada Společnosti </w:t>
            </w:r>
            <w:r w:rsidRPr="00B97992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rozhoduje o přechodu vlastnického práva ke všem účastnickým cenným papírům vydaným Společností vlastněným jinými vlastníky účastnických cenných papírů než Hlavním akcionářem na Hlavního akcionáře (dále jen „</w:t>
            </w:r>
            <w:r w:rsidRPr="00B97992">
              <w:rPr>
                <w:rFonts w:ascii="Arial" w:eastAsia="Calibri" w:hAnsi="Arial" w:cs="Arial"/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Přechod účastnických cenných papírů</w:t>
            </w:r>
            <w:r w:rsidRPr="00B97992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“). Přechod účastnických cenných papírů </w:t>
            </w:r>
            <w:proofErr w:type="gramStart"/>
            <w:r w:rsidRPr="00B97992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nabyde</w:t>
            </w:r>
            <w:proofErr w:type="gramEnd"/>
            <w:r w:rsidRPr="00B97992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účinnosti uplynutím 1 měsíce od zveřejnění zápisu tohoto usnesení do obchodního rejstříku (dále jen „</w:t>
            </w:r>
            <w:r w:rsidRPr="00B97992">
              <w:rPr>
                <w:rFonts w:ascii="Arial" w:eastAsia="Calibri" w:hAnsi="Arial" w:cs="Arial"/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Den účinnosti</w:t>
            </w:r>
            <w:r w:rsidRPr="00B97992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“). Bez zbytečného odkladu po Dni účinnosti vydá Společnost Hlavnímu akcionáři nové účastnické cenné papíry původně vlastněné ostatními vlastníky účastnických cenných papírů Společnosti.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“</w:t>
            </w:r>
          </w:p>
          <w:p w14:paraId="3EE669B1" w14:textId="77777777" w:rsidR="00053BF2" w:rsidRPr="00053BF2" w:rsidRDefault="00053BF2" w:rsidP="00053BF2">
            <w:pPr>
              <w:pStyle w:val="Odstavecseseznamem"/>
              <w:tabs>
                <w:tab w:val="left" w:leader="dot" w:pos="1985"/>
                <w:tab w:val="left" w:leader="dot" w:pos="3402"/>
              </w:tabs>
              <w:spacing w:line="276" w:lineRule="auto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</w:p>
          <w:p w14:paraId="48A3DD42" w14:textId="57314086" w:rsidR="00852A3F" w:rsidRPr="00DA3343" w:rsidRDefault="00852A3F" w:rsidP="00852A3F">
            <w:pPr>
              <w:pStyle w:val="textvnitnhopedpisu"/>
              <w:spacing w:after="200" w:line="276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Odůvodněn</w:t>
            </w:r>
            <w:r w:rsidRPr="00852A3F">
              <w:rPr>
                <w:rFonts w:ascii="Arial" w:hAnsi="Arial" w:cs="Arial"/>
                <w:bCs/>
                <w:sz w:val="20"/>
                <w:szCs w:val="20"/>
                <w:u w:val="single"/>
              </w:rPr>
              <w:t>í: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 V souladu s § 375 a násl. ZOK je hlavní akcionář oprávněn požadovat, aby správní rada 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>polečnosti svolala valnou hromadu a předložila jí k rozhodnutí návrh na přechod všech ostatních účastnických cenných papírů na hlavního akcionáře. V souladu s § 385 odst. 1 ZOK přechází vlastnické právo k účastnickým cenným papírům společnosti na hlavního akcionáře uplynutím 1 měsíce od zveřejnění zápisu usnesení do obchodního rejstříku podle § 384 ZOK.</w:t>
            </w:r>
          </w:p>
        </w:tc>
      </w:tr>
      <w:tr w:rsidR="00C012E4" w:rsidRPr="004E2EF4" w14:paraId="7EA17788" w14:textId="77777777" w:rsidTr="005B46D9">
        <w:trPr>
          <w:trHeight w:val="87"/>
        </w:trPr>
        <w:tc>
          <w:tcPr>
            <w:tcW w:w="9070" w:type="dxa"/>
          </w:tcPr>
          <w:p w14:paraId="459DFAAE" w14:textId="4D799DDD" w:rsidR="00852A3F" w:rsidRPr="00852A3F" w:rsidRDefault="00852A3F" w:rsidP="00852A3F">
            <w:pPr>
              <w:pStyle w:val="Odstavecseseznamem"/>
              <w:numPr>
                <w:ilvl w:val="0"/>
                <w:numId w:val="7"/>
              </w:numPr>
              <w:tabs>
                <w:tab w:val="clear" w:pos="-105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ind w:left="458" w:hanging="283"/>
              <w:jc w:val="both"/>
              <w:textAlignment w:val="baseline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</w:t>
            </w:r>
            <w:r w:rsidRPr="00852A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ozhodnutí o určení výše protiplnění za účastnické cenné papíry </w:t>
            </w:r>
          </w:p>
          <w:p w14:paraId="5BC70F46" w14:textId="77777777" w:rsidR="00852A3F" w:rsidRDefault="00852A3F" w:rsidP="00852A3F">
            <w:pPr>
              <w:pStyle w:val="Odstavecseseznamem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7B55481" w14:textId="0C380290" w:rsidR="00E745BD" w:rsidRPr="009D7A31" w:rsidRDefault="00E745BD" w:rsidP="00852A3F">
            <w:pPr>
              <w:pStyle w:val="Odstavecseseznamem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D7A3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Návrh usnesení: </w:t>
            </w:r>
          </w:p>
          <w:p w14:paraId="52779A93" w14:textId="77777777" w:rsidR="00E745BD" w:rsidRDefault="00E745BD" w:rsidP="00E745BD">
            <w:pPr>
              <w:pStyle w:val="Odstavecseseznamem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ind w:left="321"/>
              <w:jc w:val="both"/>
              <w:textAlignment w:val="baseline"/>
              <w:outlineLvl w:val="0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</w:p>
          <w:p w14:paraId="1908BA39" w14:textId="2D37F1F4" w:rsidR="00852A3F" w:rsidRPr="00852A3F" w:rsidRDefault="00E745BD" w:rsidP="00852A3F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2A3F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 xml:space="preserve">Valná hromada Společnosti určuje, že Hlavní akcionář poskytne ostatním vlastníkům účastnických cenných papírů společnosti protiplnění za jejich účastnické cenné papíry, ke kterým přejde vlastnické právo na Hlavního akcionáře v rámci Přechodu účastnických cenných papírů, ve výši </w:t>
            </w:r>
            <w:r w:rsidR="00533D3C" w:rsidRPr="00533D3C">
              <w:rPr>
                <w:rFonts w:ascii="Arial" w:hAnsi="Arial" w:cs="Arial"/>
                <w:bCs/>
                <w:sz w:val="20"/>
                <w:szCs w:val="20"/>
              </w:rPr>
              <w:t xml:space="preserve">15,83 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533D3C">
              <w:rPr>
                <w:rFonts w:ascii="Arial" w:hAnsi="Arial" w:cs="Arial"/>
                <w:bCs/>
                <w:sz w:val="20"/>
                <w:szCs w:val="20"/>
              </w:rPr>
              <w:t>pat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 xml:space="preserve">náct 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>korun českých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="00533D3C">
              <w:rPr>
                <w:rFonts w:ascii="Arial" w:hAnsi="Arial" w:cs="Arial"/>
                <w:bCs/>
                <w:sz w:val="20"/>
                <w:szCs w:val="20"/>
              </w:rPr>
              <w:t>osmdesát tři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 xml:space="preserve"> haléřů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 xml:space="preserve">) za jeden účastnický cenný papír. Do 14 kalendářních dnů ode Dne účinnosti je každý původní vlastník účastnických cenných papírů povinen písemně sdělit agentovi Hlavního akcionáře, kterým je 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>Komerční banka,</w:t>
            </w:r>
            <w:r w:rsidR="00533D3C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053BF2">
              <w:rPr>
                <w:rFonts w:ascii="Arial" w:hAnsi="Arial" w:cs="Arial"/>
                <w:bCs/>
                <w:sz w:val="20"/>
                <w:szCs w:val="20"/>
              </w:rPr>
              <w:t>a.s.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 xml:space="preserve"> (dále jen „</w:t>
            </w:r>
            <w:r w:rsidR="00852A3F" w:rsidRPr="00533D3C">
              <w:rPr>
                <w:rFonts w:ascii="Arial" w:hAnsi="Arial" w:cs="Arial"/>
                <w:b/>
                <w:sz w:val="20"/>
                <w:szCs w:val="20"/>
              </w:rPr>
              <w:t>Agent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>“), následující údaje:</w:t>
            </w:r>
          </w:p>
          <w:p w14:paraId="7EDCD6C6" w14:textId="77777777" w:rsidR="00852A3F" w:rsidRDefault="00852A3F" w:rsidP="00852A3F">
            <w:pPr>
              <w:pStyle w:val="Odstavecseseznamem"/>
              <w:numPr>
                <w:ilvl w:val="0"/>
                <w:numId w:val="15"/>
              </w:numPr>
              <w:tabs>
                <w:tab w:val="left" w:leader="dot" w:pos="1985"/>
                <w:tab w:val="left" w:leader="dot" w:pos="3402"/>
              </w:tabs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v případě vlastníka účastnických cenných papírů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, kterým je 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fyzick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á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osob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a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s bydlištěm v České republice: jméno, příjmení, rodné číslo, číslo bankovního účtu a kód banky;  </w:t>
            </w:r>
          </w:p>
          <w:p w14:paraId="7928615D" w14:textId="77777777" w:rsidR="00852A3F" w:rsidRDefault="00852A3F" w:rsidP="00852A3F">
            <w:pPr>
              <w:pStyle w:val="Odstavecseseznamem"/>
              <w:numPr>
                <w:ilvl w:val="0"/>
                <w:numId w:val="15"/>
              </w:numPr>
              <w:tabs>
                <w:tab w:val="left" w:leader="dot" w:pos="1985"/>
                <w:tab w:val="left" w:leader="dot" w:pos="3402"/>
              </w:tabs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v případě vlastníka účastnických cenných papírů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, kterým je f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yzick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á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osob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a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s bydlištěm mimo Českou republiku, který si přeje protiplnění zaslat na účet vedený u finanční instituce v České republice: jméno, příjmení, rodné číslo (není-li přiřazeno, tak obdobný identifikátor, případně datum narození), číslo bankovního účtu a kód banky;</w:t>
            </w:r>
          </w:p>
          <w:p w14:paraId="1D2C1B4F" w14:textId="77777777" w:rsidR="00852A3F" w:rsidRDefault="00852A3F" w:rsidP="00852A3F">
            <w:pPr>
              <w:pStyle w:val="Odstavecseseznamem"/>
              <w:numPr>
                <w:ilvl w:val="0"/>
                <w:numId w:val="15"/>
              </w:numPr>
              <w:tabs>
                <w:tab w:val="left" w:leader="dot" w:pos="1985"/>
                <w:tab w:val="left" w:leader="dot" w:pos="3402"/>
              </w:tabs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v případě vlastníka účastnických cenných papírů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, kterým je 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fyzick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á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osob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a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s bydlištěm mimo Českou republiku, který si přeje protiplnění zaslat na účet vedený u finanční instituce mimo Českou republiku: jméno, příjmení, rodné číslo (není-li přiřazeno, tak obdobný identifikátor, případně datum narození), adresu trvalého bydliště, číslo účtu (IBAN), kód banky/BIC, název finanční instituce, u které je účet veden a její adresu, jméno a příjmení majitele účtu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;</w:t>
            </w:r>
          </w:p>
          <w:p w14:paraId="4020562E" w14:textId="77777777" w:rsidR="00852A3F" w:rsidRDefault="00852A3F" w:rsidP="00852A3F">
            <w:pPr>
              <w:pStyle w:val="Odstavecseseznamem"/>
              <w:numPr>
                <w:ilvl w:val="0"/>
                <w:numId w:val="15"/>
              </w:numPr>
              <w:tabs>
                <w:tab w:val="left" w:leader="dot" w:pos="1985"/>
                <w:tab w:val="left" w:leader="dot" w:pos="3402"/>
              </w:tabs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v případě vlastníka účastnických cenných papírů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, kterým je 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právnick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á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osob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a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se sídlem v České republice: název právnické osoby, identifikační číslo, číslo účtu, kód banky; </w:t>
            </w:r>
          </w:p>
          <w:p w14:paraId="3396EA32" w14:textId="77777777" w:rsidR="00852A3F" w:rsidRDefault="00852A3F" w:rsidP="00852A3F">
            <w:pPr>
              <w:pStyle w:val="Odstavecseseznamem"/>
              <w:numPr>
                <w:ilvl w:val="0"/>
                <w:numId w:val="15"/>
              </w:numPr>
              <w:tabs>
                <w:tab w:val="left" w:leader="dot" w:pos="1985"/>
                <w:tab w:val="left" w:leader="dot" w:pos="3402"/>
              </w:tabs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v případě vlastníka účastnických cenných papírů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, kterým je 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právnick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á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osob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a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se sídlem mimo Českou republiku, který si přeje protiplnění zaslat na účet vedený u finanční instituce v České republice: název právnické osoby, identifikační číslo (případně obdobné číslo), číslo účtu, kód banky;</w:t>
            </w:r>
          </w:p>
          <w:p w14:paraId="3FA33E94" w14:textId="033B47C4" w:rsidR="00852A3F" w:rsidRDefault="00852A3F" w:rsidP="00852A3F">
            <w:pPr>
              <w:pStyle w:val="Odstavecseseznamem"/>
              <w:numPr>
                <w:ilvl w:val="0"/>
                <w:numId w:val="15"/>
              </w:numPr>
              <w:tabs>
                <w:tab w:val="left" w:leader="dot" w:pos="1985"/>
                <w:tab w:val="left" w:leader="dot" w:pos="3402"/>
              </w:tabs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v případě vlastníka účastnických cenných papírů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,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kterým je 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právnick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á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osob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a</w:t>
            </w:r>
            <w:r w:rsidRPr="00F43B54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se sídlem mimo Českou republiku, který si přeje protiplnění zaslat na účet vedený u finanční instituce mimo Českou republiku: název právnické osoby, identifikační číslo (případně obdobné číslo), sídlo, číslo účtu (IBAN), kód banky/BIC, název finanční instituce, u které je účet veden a její adresu, název účtu</w:t>
            </w:r>
            <w:r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>.“</w:t>
            </w:r>
          </w:p>
          <w:p w14:paraId="10630629" w14:textId="6029BD67" w:rsidR="00852A3F" w:rsidRPr="00F43B54" w:rsidRDefault="00852A3F" w:rsidP="00852A3F">
            <w:pPr>
              <w:pStyle w:val="Odstavecseseznamem"/>
              <w:tabs>
                <w:tab w:val="left" w:leader="dot" w:pos="1985"/>
                <w:tab w:val="left" w:leader="dot" w:pos="3402"/>
              </w:tabs>
              <w:spacing w:line="276" w:lineRule="auto"/>
              <w:ind w:left="1495"/>
              <w:contextualSpacing/>
              <w:jc w:val="both"/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</w:p>
          <w:p w14:paraId="28451E20" w14:textId="33A62CBB" w:rsidR="00C012E4" w:rsidRPr="00533D3C" w:rsidRDefault="00E745BD" w:rsidP="00533D3C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C2645">
              <w:rPr>
                <w:rFonts w:ascii="Arial" w:hAnsi="Arial" w:cs="Arial"/>
                <w:bCs/>
                <w:sz w:val="20"/>
                <w:szCs w:val="20"/>
                <w:u w:val="single"/>
              </w:rPr>
              <w:t>Odůvodnění</w:t>
            </w:r>
            <w:r w:rsidRPr="00AE21E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 souladu s § 376 odst. 1 ZOK mají vlastníci účastnických cenných papírů právo na přiměřené protiplnění v penězích, jehož výši určí valná hromada, přičemž hlavní akcionář doloží přiměřenost protiplnění znaleckým posudkem nebo jej odůvodní podle § 391 odst. 1. V souladu s citovaným ustanovením nesmí být znalecký posudek ke dni doručení žádosti podle § 375 ZOK 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starší než 3 měsíce. V souladu s § 376 odst. 2 ZOK hlavní akcionář společně s žádostí podle §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375 ZOK doručí společnosti zdůvodnění výše protiplnění nebo znalecký posudek. Výše protiplnění byla určena na základě znaleckého posudku nezávislého znalce</w:t>
            </w:r>
            <w:r w:rsidR="00533D3C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č. </w:t>
            </w:r>
            <w:r w:rsidR="00533D3C" w:rsidRPr="00533D3C">
              <w:rPr>
                <w:rFonts w:ascii="Arial" w:hAnsi="Arial" w:cs="Arial"/>
                <w:bCs/>
                <w:iCs/>
                <w:sz w:val="20"/>
                <w:szCs w:val="20"/>
              </w:rPr>
              <w:t>093780/2025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33D3C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ze dne 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28</w:t>
            </w:r>
            <w:r w:rsidR="00533D3C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11</w:t>
            </w:r>
            <w:r w:rsidR="00533D3C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. 2025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(dále jen „</w:t>
            </w:r>
            <w:r w:rsidR="00533D3C" w:rsidRPr="00533D3C">
              <w:rPr>
                <w:rFonts w:ascii="Arial" w:hAnsi="Arial" w:cs="Arial"/>
                <w:b/>
                <w:iCs/>
                <w:sz w:val="20"/>
                <w:szCs w:val="20"/>
              </w:rPr>
              <w:t>Znalecký posudek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“) vypracovaného 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společnost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í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Grant </w:t>
            </w:r>
            <w:proofErr w:type="spellStart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Thornton</w:t>
            </w:r>
            <w:proofErr w:type="spellEnd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Appraisal</w:t>
            </w:r>
            <w:proofErr w:type="spellEnd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services</w:t>
            </w:r>
            <w:proofErr w:type="spellEnd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a.s., IČO 27599582, se sídlem Pujmanové 1753/10a, Nusle, 140 00 Praha 4, </w:t>
            </w:r>
            <w:proofErr w:type="spellStart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sp</w:t>
            </w:r>
            <w:proofErr w:type="spellEnd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. zn. B 23987 vedená u Městského soudu v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Praze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(dále jen „</w:t>
            </w:r>
            <w:r w:rsidR="00533D3C" w:rsidRPr="00533D3C">
              <w:rPr>
                <w:rFonts w:ascii="Arial" w:hAnsi="Arial" w:cs="Arial"/>
                <w:b/>
                <w:iCs/>
                <w:sz w:val="20"/>
                <w:szCs w:val="20"/>
              </w:rPr>
              <w:t>Znalec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“)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</w:t>
            </w:r>
            <w:r w:rsidR="00533D3C" w:rsidRPr="00533D3C">
              <w:rPr>
                <w:rFonts w:ascii="Arial" w:hAnsi="Arial" w:cs="Arial"/>
                <w:bCs/>
                <w:iCs/>
                <w:sz w:val="20"/>
                <w:szCs w:val="20"/>
              </w:rPr>
              <w:t>zapsan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>ou</w:t>
            </w:r>
            <w:r w:rsidR="00533D3C" w:rsidRPr="00533D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na základě rozhodnutí ministra spravedlnosti České republiky č.j. 234/2006-ODS-ZN/5, ve znění rozhodnutí č.j. 173/2012-OSD-SZN/17 do prvního oddílu seznamu ústavů kvalifikovaných pro znaleckou činnost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v oboru Ekonomika</w:t>
            </w:r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, který tvoří přílohu tohoto zápisu. V souladu s § 378 odst. 1 ZOK provádí výplatu protiplnění pověřená osoba, přičemž pověřenou osobou může být pouze (i) banka, (</w:t>
            </w:r>
            <w:proofErr w:type="spellStart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ii</w:t>
            </w:r>
            <w:proofErr w:type="spellEnd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) obchodník s cennými papíry, nebo (</w:t>
            </w:r>
            <w:proofErr w:type="spellStart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iii</w:t>
            </w:r>
            <w:proofErr w:type="spellEnd"/>
            <w:r w:rsidR="00852A3F" w:rsidRPr="00852A3F">
              <w:rPr>
                <w:rFonts w:ascii="Arial" w:hAnsi="Arial" w:cs="Arial"/>
                <w:bCs/>
                <w:iCs/>
                <w:sz w:val="20"/>
                <w:szCs w:val="20"/>
              </w:rPr>
              <w:t>) zahraniční osoba, podnikající na území České republiky, jejíž předmět podnikání odpovídá činnosti banky nebo obchodníka s cennými papíry. Hlavní akcionář je povinen v souladu s § 378 odst. 2 ZOK předat pověřené osobě před konáním valné hromady peněžní prostředky ve výši potřebné k výplatě protiplnění a společnosti tuto skutečnost doloží.</w:t>
            </w:r>
            <w:r w:rsidR="00533D3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32777A" w:rsidRPr="004E2EF4" w14:paraId="24C65B57" w14:textId="77777777" w:rsidTr="005B46D9">
        <w:trPr>
          <w:trHeight w:val="87"/>
        </w:trPr>
        <w:tc>
          <w:tcPr>
            <w:tcW w:w="9070" w:type="dxa"/>
          </w:tcPr>
          <w:p w14:paraId="143182B3" w14:textId="17349D97" w:rsidR="0032777A" w:rsidRDefault="00172B46" w:rsidP="00E827EF">
            <w:pPr>
              <w:pStyle w:val="textvnitnhopedpisu"/>
              <w:numPr>
                <w:ilvl w:val="0"/>
                <w:numId w:val="7"/>
              </w:numPr>
              <w:tabs>
                <w:tab w:val="num" w:pos="357"/>
              </w:tabs>
              <w:spacing w:after="200" w:line="276" w:lineRule="auto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Určení </w:t>
            </w:r>
            <w:bookmarkStart w:id="1" w:name="_Hlk212032678"/>
            <w:r>
              <w:rPr>
                <w:rFonts w:ascii="Arial" w:hAnsi="Arial" w:cs="Arial"/>
                <w:b/>
                <w:sz w:val="20"/>
                <w:szCs w:val="20"/>
              </w:rPr>
              <w:t>poskytnutí protiplnění vlastníkům účastnických cenných papírů, případně zástavnímu věřiteli</w:t>
            </w:r>
            <w:bookmarkEnd w:id="1"/>
          </w:p>
          <w:p w14:paraId="461E0043" w14:textId="49A22718" w:rsidR="009D7A31" w:rsidRPr="009D7A31" w:rsidRDefault="00A669B5" w:rsidP="00A669B5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D7A3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Návrh </w:t>
            </w:r>
            <w:r w:rsidR="009D7A31" w:rsidRPr="009D7A31">
              <w:rPr>
                <w:rFonts w:ascii="Arial" w:hAnsi="Arial" w:cs="Arial"/>
                <w:bCs/>
                <w:sz w:val="20"/>
                <w:szCs w:val="20"/>
                <w:u w:val="single"/>
              </w:rPr>
              <w:t>usnesení</w:t>
            </w:r>
            <w:r w:rsidRPr="009D7A3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</w:p>
          <w:p w14:paraId="3CF8D278" w14:textId="5E52497C" w:rsidR="00852A3F" w:rsidRPr="00852A3F" w:rsidRDefault="00852A3F" w:rsidP="00852A3F">
            <w:pPr>
              <w:pStyle w:val="textvnitnhopedpisu"/>
              <w:spacing w:after="200" w:line="276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„Valná hromada Společnosti určuje, že protiplnění ve výši určené v bodě </w:t>
            </w:r>
            <w:r w:rsidR="00533D3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. výše bude poskytnuto Hlavním akcionářem prostřednictvím Agenta každému původnímu vlastníkovi účastnických cenných papírů </w:t>
            </w:r>
            <w:r w:rsidR="00251755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bez zbytečného odkladu 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 xml:space="preserve">ode Dne účinnosti. Hlavní akcionář poskytne protiplnění tomu, kdo byl vlastníkem účastnických cenných papírů společnosti ke Dni účinnosti, ledaže je prokázán vznik zástavního práva k těmto cenným papírům, pak poskytne protiplnění zástavnímu věřiteli; to neplatí, prokáže-li vlastník, že zástavní právo ještě před přechodem vlastnického práva zaniklo. V případě, že ke Dni účinnosti bude zřízeno k účastnickým cenným papírům zástavní právo, je osoba, která je vlastníkem těchto účastnických cenných papírů ke Dni účinnosti, povinna zajistit, že zástavní věřitel poskytne Hlavnímu akcionáři údaje a dokumenty potřebné k úhradě protiplnění dle bodu </w:t>
            </w:r>
            <w:r w:rsidR="00533D3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52A3F">
              <w:rPr>
                <w:rFonts w:ascii="Arial" w:hAnsi="Arial" w:cs="Arial"/>
                <w:bCs/>
                <w:sz w:val="20"/>
                <w:szCs w:val="20"/>
              </w:rPr>
              <w:t>.“</w:t>
            </w:r>
          </w:p>
          <w:p w14:paraId="772E15F0" w14:textId="77777777" w:rsidR="00B721E2" w:rsidRPr="00B721E2" w:rsidRDefault="00B721E2" w:rsidP="00B721E2">
            <w:pPr>
              <w:pStyle w:val="Odstavecseseznamem"/>
              <w:ind w:left="717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3E0D7175" w14:textId="2EA69C39" w:rsidR="0032777A" w:rsidRPr="0029687F" w:rsidRDefault="007C178A" w:rsidP="00790CBD">
            <w:pPr>
              <w:pStyle w:val="textvnitnhopedpisu"/>
              <w:spacing w:after="200" w:line="300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687F">
              <w:rPr>
                <w:rFonts w:ascii="Arial" w:hAnsi="Arial" w:cs="Arial"/>
                <w:bCs/>
                <w:sz w:val="20"/>
                <w:szCs w:val="20"/>
                <w:u w:val="single"/>
              </w:rPr>
              <w:t>Odůvodnění</w:t>
            </w:r>
            <w:r w:rsidRPr="0029687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 xml:space="preserve">V souladu s § 380 ZOK sdělí vlastníci zastavených účastnických cenných papírů společnosti bez zbytečného odkladu poté, co se dozvěděli o svolání valné hromady, skutečnost zastavení a osobu zástavního věřitele. V souladu s § 385 odst. 2 </w:t>
            </w:r>
            <w:proofErr w:type="gramStart"/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>ZOK</w:t>
            </w:r>
            <w:proofErr w:type="gramEnd"/>
            <w:r w:rsidR="00852A3F" w:rsidRPr="00852A3F">
              <w:rPr>
                <w:rFonts w:ascii="Arial" w:hAnsi="Arial" w:cs="Arial"/>
                <w:bCs/>
                <w:sz w:val="20"/>
                <w:szCs w:val="20"/>
              </w:rPr>
              <w:t xml:space="preserve"> jestliže byly zástavou účastnické cenné papíry, ke kterým přešlo vlastnické právo, zástavní právo okamžikem přechodu vlastnického práva zaniká, přičemž na zástavního věřitele, který má u sebe zastavený účastnický cenný papír, se přiměřeně použije § 387 ZOK.</w:t>
            </w:r>
          </w:p>
        </w:tc>
      </w:tr>
      <w:tr w:rsidR="0032777A" w:rsidRPr="004E2EF4" w14:paraId="7D0D8028" w14:textId="77777777" w:rsidTr="005B46D9">
        <w:trPr>
          <w:trHeight w:val="87"/>
        </w:trPr>
        <w:tc>
          <w:tcPr>
            <w:tcW w:w="9070" w:type="dxa"/>
          </w:tcPr>
          <w:p w14:paraId="68AAD72B" w14:textId="000F548A" w:rsidR="0032777A" w:rsidRPr="004E2EF4" w:rsidRDefault="0032777A" w:rsidP="00207E59">
            <w:pPr>
              <w:pStyle w:val="textvnitnhopedpisu"/>
              <w:numPr>
                <w:ilvl w:val="0"/>
                <w:numId w:val="7"/>
              </w:numPr>
              <w:tabs>
                <w:tab w:val="num" w:pos="357"/>
              </w:tabs>
              <w:spacing w:after="200" w:line="300" w:lineRule="auto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2EF4">
              <w:rPr>
                <w:rFonts w:ascii="Arial" w:hAnsi="Arial" w:cs="Arial"/>
                <w:b/>
                <w:sz w:val="20"/>
                <w:szCs w:val="20"/>
              </w:rPr>
              <w:t>Závěr</w:t>
            </w:r>
          </w:p>
        </w:tc>
      </w:tr>
      <w:tr w:rsidR="00CB30F0" w:rsidRPr="004E2EF4" w14:paraId="20F60F4F" w14:textId="77777777" w:rsidTr="005B46D9">
        <w:trPr>
          <w:trHeight w:val="87"/>
        </w:trPr>
        <w:tc>
          <w:tcPr>
            <w:tcW w:w="9070" w:type="dxa"/>
          </w:tcPr>
          <w:p w14:paraId="5C7C2075" w14:textId="32EF92D3" w:rsidR="00CB30F0" w:rsidRPr="00772B17" w:rsidRDefault="00772B17" w:rsidP="00772B17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DEA">
              <w:rPr>
                <w:rFonts w:ascii="Arial" w:hAnsi="Arial" w:cs="Arial"/>
                <w:sz w:val="20"/>
                <w:szCs w:val="20"/>
              </w:rPr>
              <w:t xml:space="preserve">Pozvánka na valnou hromadu Společnosti bude uveřejněna na internetových stránkách </w:t>
            </w:r>
            <w:r w:rsidR="008E298D">
              <w:rPr>
                <w:rFonts w:ascii="Arial" w:hAnsi="Arial" w:cs="Arial"/>
                <w:sz w:val="20"/>
                <w:szCs w:val="20"/>
              </w:rPr>
              <w:t>S</w:t>
            </w:r>
            <w:r w:rsidRPr="00EB5DEA">
              <w:rPr>
                <w:rFonts w:ascii="Arial" w:hAnsi="Arial" w:cs="Arial"/>
                <w:sz w:val="20"/>
                <w:szCs w:val="20"/>
              </w:rPr>
              <w:t>polečnosti</w:t>
            </w:r>
            <w:r w:rsidR="008E298D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7" w:history="1">
              <w:r w:rsidR="00CD2CC8" w:rsidRPr="00CD2CC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Partneři – KAVALIERGLASS</w:t>
              </w:r>
            </w:hyperlink>
            <w:r w:rsidR="008E298D">
              <w:rPr>
                <w:rFonts w:ascii="Arial" w:hAnsi="Arial" w:cs="Arial"/>
                <w:sz w:val="20"/>
                <w:szCs w:val="20"/>
              </w:rPr>
              <w:t xml:space="preserve">, a to </w:t>
            </w:r>
            <w:r w:rsidRPr="00EB5DEA">
              <w:rPr>
                <w:rFonts w:ascii="Arial" w:hAnsi="Arial" w:cs="Arial"/>
                <w:sz w:val="20"/>
                <w:szCs w:val="20"/>
              </w:rPr>
              <w:t xml:space="preserve">v zákonném termínu a zároveň </w:t>
            </w:r>
            <w:r w:rsidR="008E298D">
              <w:rPr>
                <w:rFonts w:ascii="Arial" w:hAnsi="Arial" w:cs="Arial"/>
                <w:sz w:val="20"/>
                <w:szCs w:val="20"/>
              </w:rPr>
              <w:t xml:space="preserve">bude </w:t>
            </w:r>
            <w:r w:rsidRPr="00EB5DEA">
              <w:rPr>
                <w:rFonts w:ascii="Arial" w:hAnsi="Arial" w:cs="Arial"/>
                <w:sz w:val="20"/>
                <w:szCs w:val="20"/>
              </w:rPr>
              <w:t xml:space="preserve">zaslána akcionářům na adresu jejich pobytu nebo sídla uvedenou v seznamu akcionářů Společnosti. </w:t>
            </w:r>
          </w:p>
        </w:tc>
      </w:tr>
      <w:tr w:rsidR="00772B17" w:rsidRPr="004E2EF4" w14:paraId="15A5EBE6" w14:textId="77777777" w:rsidTr="005B46D9">
        <w:trPr>
          <w:trHeight w:val="87"/>
        </w:trPr>
        <w:tc>
          <w:tcPr>
            <w:tcW w:w="9070" w:type="dxa"/>
          </w:tcPr>
          <w:p w14:paraId="645ECD68" w14:textId="7DD4D235" w:rsidR="00772B17" w:rsidRDefault="00772B17" w:rsidP="00772B17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A33">
              <w:rPr>
                <w:rFonts w:ascii="Arial" w:hAnsi="Arial" w:cs="Arial"/>
                <w:sz w:val="20"/>
                <w:szCs w:val="20"/>
              </w:rPr>
              <w:t>Právo účastnit se valné hromady mají akcionáři, kteří jsou ke dni konání valné hromady zapsán</w:t>
            </w:r>
            <w:r w:rsidR="008E298D">
              <w:rPr>
                <w:rFonts w:ascii="Arial" w:hAnsi="Arial" w:cs="Arial"/>
                <w:sz w:val="20"/>
                <w:szCs w:val="20"/>
              </w:rPr>
              <w:t>i</w:t>
            </w:r>
            <w:r w:rsidRPr="00F71A33">
              <w:rPr>
                <w:rFonts w:ascii="Arial" w:hAnsi="Arial" w:cs="Arial"/>
                <w:sz w:val="20"/>
                <w:szCs w:val="20"/>
              </w:rPr>
              <w:t xml:space="preserve"> v seznamu akcionářů vedeném </w:t>
            </w:r>
            <w:r w:rsidR="008E298D">
              <w:rPr>
                <w:rFonts w:ascii="Arial" w:hAnsi="Arial" w:cs="Arial"/>
                <w:sz w:val="20"/>
                <w:szCs w:val="20"/>
              </w:rPr>
              <w:t>správní radou S</w:t>
            </w:r>
            <w:r w:rsidRPr="00F71A33">
              <w:rPr>
                <w:rFonts w:ascii="Arial" w:hAnsi="Arial" w:cs="Arial"/>
                <w:sz w:val="20"/>
                <w:szCs w:val="20"/>
              </w:rPr>
              <w:t>polečnosti.</w:t>
            </w:r>
          </w:p>
          <w:p w14:paraId="21BE1E87" w14:textId="3297BB92" w:rsidR="00772B17" w:rsidRPr="00EB5DEA" w:rsidRDefault="00772B17" w:rsidP="00772B17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DEA">
              <w:rPr>
                <w:rFonts w:ascii="Arial" w:hAnsi="Arial" w:cs="Arial"/>
                <w:sz w:val="20"/>
                <w:szCs w:val="20"/>
              </w:rPr>
              <w:t xml:space="preserve">Registrace akcionářů bude zahájena v </w:t>
            </w:r>
            <w:r w:rsidR="00C97320">
              <w:rPr>
                <w:rFonts w:ascii="Arial" w:hAnsi="Arial" w:cs="Arial"/>
                <w:sz w:val="20"/>
                <w:szCs w:val="20"/>
              </w:rPr>
              <w:t>9</w:t>
            </w:r>
            <w:r w:rsidRPr="00EB5DEA">
              <w:rPr>
                <w:rFonts w:ascii="Arial" w:hAnsi="Arial" w:cs="Arial"/>
                <w:sz w:val="20"/>
                <w:szCs w:val="20"/>
              </w:rPr>
              <w:t>:</w:t>
            </w:r>
            <w:r w:rsidR="0007288C">
              <w:rPr>
                <w:rFonts w:ascii="Arial" w:hAnsi="Arial" w:cs="Arial"/>
                <w:sz w:val="20"/>
                <w:szCs w:val="20"/>
              </w:rPr>
              <w:t>5</w:t>
            </w:r>
            <w:r w:rsidRPr="00EB5DEA">
              <w:rPr>
                <w:rFonts w:ascii="Arial" w:hAnsi="Arial" w:cs="Arial"/>
                <w:sz w:val="20"/>
                <w:szCs w:val="20"/>
              </w:rPr>
              <w:t xml:space="preserve">5 hod. v den a na místě konání valné hromady. Zmocněnci akcionářů </w:t>
            </w:r>
            <w:r w:rsidR="008E298D">
              <w:rPr>
                <w:rFonts w:ascii="Arial" w:hAnsi="Arial" w:cs="Arial"/>
                <w:sz w:val="20"/>
                <w:szCs w:val="20"/>
              </w:rPr>
              <w:t>předloží</w:t>
            </w:r>
            <w:r w:rsidR="008E298D" w:rsidRPr="00EB5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DEA">
              <w:rPr>
                <w:rFonts w:ascii="Arial" w:hAnsi="Arial" w:cs="Arial"/>
                <w:sz w:val="20"/>
                <w:szCs w:val="20"/>
              </w:rPr>
              <w:t>písemnou plnou moc s úředně ověřeným podpisem zmocnitele. Z plné moci musí vyplývat, zda byla akcionářem zástupci udělena pro zastoupení na jedné nebo více valných hromadách Společnosti v určitém období.</w:t>
            </w:r>
          </w:p>
        </w:tc>
      </w:tr>
      <w:tr w:rsidR="00882C21" w:rsidRPr="004E2EF4" w14:paraId="163F4631" w14:textId="77777777" w:rsidTr="005B46D9">
        <w:trPr>
          <w:trHeight w:val="87"/>
        </w:trPr>
        <w:tc>
          <w:tcPr>
            <w:tcW w:w="9070" w:type="dxa"/>
          </w:tcPr>
          <w:p w14:paraId="2F9092D2" w14:textId="41540165" w:rsidR="00772B17" w:rsidRDefault="00772B17" w:rsidP="00EB5DE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71F4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Práva akcionářů</w:t>
            </w:r>
          </w:p>
          <w:p w14:paraId="76564847" w14:textId="0805D83A" w:rsidR="00C97320" w:rsidRDefault="00C97320" w:rsidP="00C97320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Akcionáři Společnosti mají právo n</w:t>
            </w:r>
            <w:r w:rsidRPr="00EB5DEA">
              <w:rPr>
                <w:rFonts w:ascii="Arial" w:hAnsi="Arial" w:cs="Arial"/>
                <w:sz w:val="20"/>
                <w:szCs w:val="20"/>
              </w:rPr>
              <w:t>ahlédnout do dokumentace k</w:t>
            </w:r>
            <w:r>
              <w:rPr>
                <w:rFonts w:ascii="Arial" w:hAnsi="Arial" w:cs="Arial"/>
                <w:sz w:val="20"/>
                <w:szCs w:val="20"/>
              </w:rPr>
              <w:t xml:space="preserve"> navrhovanému nucenému přechodu účastnických cenných papírů </w:t>
            </w:r>
            <w:r w:rsidRPr="00EB5DEA">
              <w:rPr>
                <w:rFonts w:ascii="Arial" w:hAnsi="Arial" w:cs="Arial"/>
                <w:sz w:val="20"/>
                <w:szCs w:val="20"/>
              </w:rPr>
              <w:t>v sídle Společnosti, a to počínaje dnem zveřejnění této pozvánky do dne konání valné hromady.</w:t>
            </w:r>
          </w:p>
          <w:p w14:paraId="64FE6AD2" w14:textId="77777777" w:rsidR="00C97320" w:rsidRDefault="00C97320" w:rsidP="00C97320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Tato dokumentace zahrnuje: </w:t>
            </w:r>
          </w:p>
          <w:p w14:paraId="78B80627" w14:textId="3CEBDA7E" w:rsidR="00C97320" w:rsidRDefault="00C97320" w:rsidP="00C97320">
            <w:pPr>
              <w:pStyle w:val="textvnitnhopedpisu"/>
              <w:numPr>
                <w:ilvl w:val="0"/>
                <w:numId w:val="10"/>
              </w:numPr>
              <w:spacing w:after="200" w:line="300" w:lineRule="auto"/>
              <w:ind w:left="88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znalecký posudek</w:t>
            </w:r>
            <w:r w:rsidRPr="00926E1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433799" w14:textId="4BDF03AF" w:rsidR="00C97320" w:rsidRPr="00926E19" w:rsidRDefault="00C97320" w:rsidP="00C97320">
            <w:pPr>
              <w:pStyle w:val="textvnitnhopedpisu"/>
              <w:numPr>
                <w:ilvl w:val="0"/>
                <w:numId w:val="10"/>
              </w:numPr>
              <w:spacing w:after="200" w:line="300" w:lineRule="auto"/>
              <w:ind w:left="88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údaj o osobě Hlavního akcionáře</w:t>
            </w:r>
          </w:p>
          <w:p w14:paraId="3EBC5CDF" w14:textId="16220159" w:rsidR="00C97320" w:rsidRDefault="00C97320" w:rsidP="00C97320">
            <w:pPr>
              <w:pStyle w:val="textvnitnhopedpisu"/>
              <w:spacing w:after="200" w:line="300" w:lineRule="auto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Akcionáři mohou Společnost požádat o poskytnutí kopií výše uvedené dokumentace. </w:t>
            </w:r>
          </w:p>
          <w:p w14:paraId="777D6D19" w14:textId="5B43A8D5" w:rsidR="00C97320" w:rsidRDefault="00C97320" w:rsidP="00C97320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  <w:r w:rsidRPr="00EB5DEA">
              <w:rPr>
                <w:rFonts w:ascii="Arial" w:hAnsi="Arial" w:cs="Arial"/>
                <w:sz w:val="20"/>
                <w:szCs w:val="20"/>
              </w:rPr>
              <w:t xml:space="preserve">teriály předkládané k projednání a ke schválení valné hromadě budou </w:t>
            </w:r>
            <w:r>
              <w:rPr>
                <w:rFonts w:ascii="Arial" w:hAnsi="Arial" w:cs="Arial"/>
                <w:sz w:val="20"/>
                <w:szCs w:val="20"/>
              </w:rPr>
              <w:t xml:space="preserve">akcionářům </w:t>
            </w:r>
            <w:r w:rsidRPr="00EB5DEA">
              <w:rPr>
                <w:rFonts w:ascii="Arial" w:hAnsi="Arial" w:cs="Arial"/>
                <w:sz w:val="20"/>
                <w:szCs w:val="20"/>
              </w:rPr>
              <w:t xml:space="preserve">k dispozici k nahlédnutí </w:t>
            </w:r>
            <w:r>
              <w:rPr>
                <w:rFonts w:ascii="Arial" w:hAnsi="Arial" w:cs="Arial"/>
                <w:sz w:val="20"/>
                <w:szCs w:val="20"/>
              </w:rPr>
              <w:t xml:space="preserve">rovněž </w:t>
            </w:r>
            <w:r w:rsidRPr="00EB5DEA">
              <w:rPr>
                <w:rFonts w:ascii="Arial" w:hAnsi="Arial" w:cs="Arial"/>
                <w:sz w:val="20"/>
                <w:szCs w:val="20"/>
              </w:rPr>
              <w:t>v den konání valné hromady v místě konání valné hromady.</w:t>
            </w:r>
          </w:p>
          <w:p w14:paraId="2B2CF240" w14:textId="6C3CDD9C" w:rsidR="00C97320" w:rsidRDefault="00C97320" w:rsidP="00EB5DE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732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Informace pro akcionáře</w:t>
            </w:r>
          </w:p>
          <w:p w14:paraId="22A60C42" w14:textId="77777777" w:rsidR="00197A3A" w:rsidRDefault="00533D3C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Znaleckým posudkem Znalce byla </w:t>
            </w:r>
            <w:r w:rsidRPr="00533D3C">
              <w:rPr>
                <w:rFonts w:ascii="Arial" w:hAnsi="Arial" w:cs="Arial"/>
                <w:sz w:val="20"/>
                <w:szCs w:val="20"/>
              </w:rPr>
              <w:t>hodnot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97A3A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="00197A3A" w:rsidRPr="00197A3A">
              <w:rPr>
                <w:rFonts w:ascii="Arial" w:hAnsi="Arial" w:cs="Arial"/>
                <w:sz w:val="20"/>
                <w:szCs w:val="20"/>
              </w:rPr>
              <w:t>ks akcie Společnosti</w:t>
            </w:r>
            <w:r w:rsidR="00197A3A">
              <w:rPr>
                <w:rFonts w:ascii="Arial" w:hAnsi="Arial" w:cs="Arial"/>
                <w:sz w:val="20"/>
                <w:szCs w:val="20"/>
              </w:rPr>
              <w:t xml:space="preserve"> stanovena na částku </w:t>
            </w:r>
            <w:r w:rsidR="00197A3A" w:rsidRPr="00EE049E">
              <w:rPr>
                <w:rFonts w:ascii="Arial" w:hAnsi="Arial" w:cs="Arial"/>
                <w:b/>
                <w:bCs/>
                <w:sz w:val="20"/>
                <w:szCs w:val="20"/>
              </w:rPr>
              <w:t>15,83 Kč</w:t>
            </w:r>
            <w:r w:rsidR="00197A3A" w:rsidRPr="00197A3A">
              <w:rPr>
                <w:rFonts w:ascii="Arial" w:hAnsi="Arial" w:cs="Arial"/>
                <w:sz w:val="20"/>
                <w:szCs w:val="20"/>
              </w:rPr>
              <w:t>.</w:t>
            </w:r>
            <w:r w:rsidR="00197A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FA0655" w14:textId="3A870BDD" w:rsidR="00C97320" w:rsidRDefault="00197A3A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Hodnota 1 ks akcie Společnosti </w:t>
            </w:r>
            <w:r w:rsidRPr="00197A3A">
              <w:rPr>
                <w:rFonts w:ascii="Arial" w:hAnsi="Arial" w:cs="Arial"/>
                <w:sz w:val="20"/>
                <w:szCs w:val="20"/>
              </w:rPr>
              <w:t>ks pro účely stanovení výše přiměřeného protiplnění k datu ocenění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 stanovená Znalcem vychází z porovnán</w:t>
            </w:r>
            <w:r w:rsidR="00EE049E">
              <w:rPr>
                <w:rFonts w:ascii="Arial" w:hAnsi="Arial" w:cs="Arial"/>
                <w:sz w:val="20"/>
                <w:szCs w:val="20"/>
              </w:rPr>
              <w:t>í</w:t>
            </w:r>
            <w:r w:rsidRPr="00197A3A">
              <w:rPr>
                <w:rFonts w:ascii="Arial" w:hAnsi="Arial" w:cs="Arial"/>
                <w:sz w:val="20"/>
                <w:szCs w:val="20"/>
              </w:rPr>
              <w:t xml:space="preserve"> hodnot</w:t>
            </w:r>
            <w:r w:rsidR="00EE049E">
              <w:rPr>
                <w:rFonts w:ascii="Arial" w:hAnsi="Arial" w:cs="Arial"/>
                <w:sz w:val="20"/>
                <w:szCs w:val="20"/>
              </w:rPr>
              <w:t>y</w:t>
            </w:r>
            <w:r w:rsidRPr="00197A3A">
              <w:rPr>
                <w:rFonts w:ascii="Arial" w:hAnsi="Arial" w:cs="Arial"/>
                <w:sz w:val="20"/>
                <w:szCs w:val="20"/>
              </w:rPr>
              <w:t xml:space="preserve"> 1 ks akcie stanoven</w:t>
            </w:r>
            <w:r w:rsidR="00EE049E">
              <w:rPr>
                <w:rFonts w:ascii="Arial" w:hAnsi="Arial" w:cs="Arial"/>
                <w:sz w:val="20"/>
                <w:szCs w:val="20"/>
              </w:rPr>
              <w:t>é</w:t>
            </w:r>
            <w:r w:rsidRPr="00197A3A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EE049E">
              <w:rPr>
                <w:rFonts w:ascii="Arial" w:hAnsi="Arial" w:cs="Arial"/>
                <w:sz w:val="20"/>
                <w:szCs w:val="20"/>
              </w:rPr>
              <w:t xml:space="preserve">e Znaleckém posudku </w:t>
            </w:r>
            <w:r w:rsidRPr="00197A3A">
              <w:rPr>
                <w:rFonts w:ascii="Arial" w:hAnsi="Arial" w:cs="Arial"/>
                <w:sz w:val="20"/>
                <w:szCs w:val="20"/>
              </w:rPr>
              <w:t xml:space="preserve">s kupní cenou, za kterou majoritní akcionář nabyl akcie ve Společnosti, a to v období jednoho roku před datem ocenění, respektive před vydáním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97A3A">
              <w:rPr>
                <w:rFonts w:ascii="Arial" w:hAnsi="Arial" w:cs="Arial"/>
                <w:sz w:val="20"/>
                <w:szCs w:val="20"/>
              </w:rPr>
              <w:t>naleckého posudku.</w:t>
            </w:r>
          </w:p>
          <w:p w14:paraId="23572827" w14:textId="111B49F9" w:rsidR="00197A3A" w:rsidRPr="00197A3A" w:rsidRDefault="00197A3A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A3A">
              <w:rPr>
                <w:rFonts w:ascii="Arial" w:hAnsi="Arial" w:cs="Arial"/>
                <w:b/>
                <w:bCs/>
                <w:sz w:val="20"/>
                <w:szCs w:val="20"/>
              </w:rPr>
              <w:t>Z odůvodnění Znaleckého posudku:</w:t>
            </w:r>
          </w:p>
          <w:p w14:paraId="591A1DB9" w14:textId="46591842" w:rsidR="00EE049E" w:rsidRPr="00EE049E" w:rsidRDefault="00EE049E" w:rsidP="00EE049E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r w:rsidRPr="00EE049E">
              <w:rPr>
                <w:rFonts w:ascii="Arial" w:hAnsi="Arial" w:cs="Arial"/>
                <w:i/>
                <w:iCs/>
                <w:sz w:val="20"/>
                <w:szCs w:val="20"/>
              </w:rPr>
              <w:t>V souladu s metodikou uvedenou v kapitole 1.5 je dále nutné porovnat hodnotu 1 ks akcie stanovenou v předcházející kapitole s kupní cenou, za kterou majoritní akcionář nabyl akcie ve Společnosti, a to v období jednoho roku před datem ocenění, respektive před vydáním tohoto znaleckého posudku.</w:t>
            </w:r>
          </w:p>
          <w:p w14:paraId="68E5DE34" w14:textId="77777777" w:rsidR="00EE049E" w:rsidRPr="00EE049E" w:rsidRDefault="00EE049E" w:rsidP="00EE049E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49E">
              <w:rPr>
                <w:rFonts w:ascii="Arial" w:hAnsi="Arial" w:cs="Arial"/>
                <w:i/>
                <w:iCs/>
                <w:sz w:val="20"/>
                <w:szCs w:val="20"/>
              </w:rPr>
              <w:t>Dle informací poskytnutých Zadavatelem nabyl majoritní akcionář následující akcie: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399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1843"/>
              <w:gridCol w:w="1843"/>
              <w:gridCol w:w="1417"/>
              <w:gridCol w:w="1956"/>
            </w:tblGrid>
            <w:tr w:rsidR="00EE049E" w14:paraId="667A6068" w14:textId="77777777" w:rsidTr="00EE049E">
              <w:trPr>
                <w:trHeight w:val="75"/>
              </w:trPr>
              <w:tc>
                <w:tcPr>
                  <w:tcW w:w="1276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58A5751" w14:textId="6328D76F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Datum </w:t>
                  </w:r>
                </w:p>
              </w:tc>
              <w:tc>
                <w:tcPr>
                  <w:tcW w:w="184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744A3E1" w14:textId="3EB4A78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Protistrana </w:t>
                  </w:r>
                </w:p>
              </w:tc>
              <w:tc>
                <w:tcPr>
                  <w:tcW w:w="184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F4FC654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Počet akcií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2786B52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Částka </w:t>
                  </w:r>
                </w:p>
              </w:tc>
              <w:tc>
                <w:tcPr>
                  <w:tcW w:w="195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0B9E45C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Cena za 1 akcii </w:t>
                  </w:r>
                </w:p>
              </w:tc>
            </w:tr>
            <w:tr w:rsidR="00EE049E" w14:paraId="64C52EC1" w14:textId="77777777" w:rsidTr="00EE049E">
              <w:trPr>
                <w:trHeight w:val="75"/>
              </w:trPr>
              <w:tc>
                <w:tcPr>
                  <w:tcW w:w="1276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FD15E74" w14:textId="77777777" w:rsidR="00EE049E" w:rsidRDefault="00EE049E" w:rsidP="00EE049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20.08.2025 </w:t>
                  </w:r>
                </w:p>
              </w:tc>
              <w:tc>
                <w:tcPr>
                  <w:tcW w:w="184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E217ED4" w14:textId="77777777" w:rsidR="00EE049E" w:rsidRDefault="00EE049E" w:rsidP="00EE049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Fyzická osoba 1 </w:t>
                  </w:r>
                </w:p>
              </w:tc>
              <w:tc>
                <w:tcPr>
                  <w:tcW w:w="184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60B5A12" w14:textId="77777777" w:rsidR="00EE049E" w:rsidRDefault="00EE049E" w:rsidP="00EE049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18 000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C8B09DA" w14:textId="77777777" w:rsidR="00EE049E" w:rsidRDefault="00EE049E" w:rsidP="00EE049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285 000 </w:t>
                  </w:r>
                </w:p>
              </w:tc>
              <w:tc>
                <w:tcPr>
                  <w:tcW w:w="195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7D05DB90" w14:textId="77777777" w:rsidR="00EE049E" w:rsidRDefault="00EE049E" w:rsidP="00EE049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15,83 </w:t>
                  </w:r>
                </w:p>
              </w:tc>
            </w:tr>
          </w:tbl>
          <w:p w14:paraId="2AFD49D0" w14:textId="62942896" w:rsidR="00EE049E" w:rsidRPr="00EE049E" w:rsidRDefault="00EE049E" w:rsidP="00EE049E">
            <w:pPr>
              <w:pStyle w:val="textvnitnhopedpisu"/>
              <w:spacing w:after="200" w:line="30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47ED6E" w14:textId="464860A9" w:rsidR="00EE049E" w:rsidRDefault="00EE049E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49E">
              <w:rPr>
                <w:rFonts w:ascii="Arial" w:hAnsi="Arial" w:cs="Arial"/>
                <w:i/>
                <w:iCs/>
                <w:sz w:val="20"/>
                <w:szCs w:val="20"/>
              </w:rPr>
              <w:t>Odhad hodnoty 1 ks akcie Společnosti jsme provedli na základě metody KČV. Výsledek ocenění rekapituluje následující tabulka, přičemž pro účely rekonciliace uvádíme i informace o účetní hodnotě (vlastním kapitálu připadajícím na 1 akcii Společnosti).</w:t>
            </w:r>
          </w:p>
          <w:tbl>
            <w:tblPr>
              <w:tblW w:w="0" w:type="auto"/>
              <w:tblInd w:w="399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70"/>
              <w:gridCol w:w="865"/>
            </w:tblGrid>
            <w:tr w:rsidR="00EE049E" w14:paraId="5EA65EDB" w14:textId="77777777" w:rsidTr="00EE049E">
              <w:trPr>
                <w:trHeight w:val="75"/>
              </w:trPr>
              <w:tc>
                <w:tcPr>
                  <w:tcW w:w="7470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6837CEE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Tabulka 8-1 Shrnutí odhadů hodnoty 1 ks akcie Společnosti k datu ocenění, tj. k 30. 9. 2025 (v Kč) Použitá metoda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7D5C72A0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Hodnota </w:t>
                  </w:r>
                </w:p>
              </w:tc>
            </w:tr>
            <w:tr w:rsidR="00EE049E" w14:paraId="3AD4C639" w14:textId="77777777" w:rsidTr="00EE049E">
              <w:trPr>
                <w:trHeight w:val="75"/>
              </w:trPr>
              <w:tc>
                <w:tcPr>
                  <w:tcW w:w="7470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F91E5C8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color w:val="auto"/>
                      <w:sz w:val="16"/>
                      <w:szCs w:val="16"/>
                    </w:rPr>
                    <w:t xml:space="preserve">Metoda KČV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B28E48E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color w:val="auto"/>
                      <w:sz w:val="16"/>
                      <w:szCs w:val="16"/>
                    </w:rPr>
                    <w:t xml:space="preserve">12,96 </w:t>
                  </w:r>
                </w:p>
              </w:tc>
            </w:tr>
            <w:tr w:rsidR="00EE049E" w14:paraId="231CCEFD" w14:textId="77777777" w:rsidTr="00EE049E">
              <w:trPr>
                <w:trHeight w:val="75"/>
              </w:trPr>
              <w:tc>
                <w:tcPr>
                  <w:tcW w:w="7470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FC539C0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color w:val="auto"/>
                      <w:sz w:val="16"/>
                      <w:szCs w:val="16"/>
                    </w:rPr>
                    <w:t xml:space="preserve">Účetní hodnota (vlastní kapitál)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1C452157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color w:val="auto"/>
                      <w:sz w:val="16"/>
                      <w:szCs w:val="16"/>
                    </w:rPr>
                    <w:t xml:space="preserve">16,49 </w:t>
                  </w:r>
                </w:p>
              </w:tc>
            </w:tr>
            <w:tr w:rsidR="00EE049E" w14:paraId="6A97AE94" w14:textId="77777777" w:rsidTr="00EE049E">
              <w:trPr>
                <w:trHeight w:val="75"/>
              </w:trPr>
              <w:tc>
                <w:tcPr>
                  <w:tcW w:w="7470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33D8539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color w:val="auto"/>
                      <w:sz w:val="16"/>
                      <w:szCs w:val="16"/>
                    </w:rPr>
                    <w:t xml:space="preserve">Kupní cena, za kterou majoritní akcionář nabyl akcie Společnosti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A2C8FDC" w14:textId="77777777" w:rsidR="00EE049E" w:rsidRPr="00EE049E" w:rsidRDefault="00EE049E" w:rsidP="00EE049E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EE049E">
                    <w:rPr>
                      <w:color w:val="auto"/>
                      <w:sz w:val="16"/>
                      <w:szCs w:val="16"/>
                    </w:rPr>
                    <w:t xml:space="preserve">15,83 </w:t>
                  </w:r>
                </w:p>
              </w:tc>
            </w:tr>
          </w:tbl>
          <w:p w14:paraId="2CA022B7" w14:textId="77777777" w:rsidR="00EE049E" w:rsidRDefault="00EE049E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133FEE" w14:textId="2CF8A65E" w:rsidR="00EE049E" w:rsidRDefault="00EE049E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4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Ocenění pomocí účetní hodnoty vlastního kapitálu nebere v potaz výnosový potenciál Společnosti a do značné míry závisí na pořizovacích cenách a odpisových plánech majetku Společnosti, třebaže tyto vůbec nesouvisí s následnou ekonomickou realitou. Součástí aktiv Společnosti je rovněž oceňovací rozdíl k nabytému majetku, jež vznikl v souvislosti s proběhlou </w:t>
            </w:r>
            <w:r w:rsidRPr="00EE049E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fúzí a jehož skutečná ekonomická hodnota je sporná. S ohledem na tyto skutečnosti od závěrů metody účetní hodnoty vlastního kapitálu dále abstrahujeme.</w:t>
            </w:r>
          </w:p>
          <w:p w14:paraId="0E17C260" w14:textId="60740746" w:rsidR="00197A3A" w:rsidRPr="00EE049E" w:rsidRDefault="00197A3A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49E">
              <w:rPr>
                <w:rFonts w:ascii="Arial" w:hAnsi="Arial" w:cs="Arial"/>
                <w:i/>
                <w:iCs/>
                <w:sz w:val="20"/>
                <w:szCs w:val="20"/>
              </w:rPr>
              <w:t>Hodnota stanovená metodou KČV je pro její ocenění nejvhodnější, protože zohledňuje výnosový potenciál Společnosti i budoucí očekávání na základě minulých výsledků. Nicméně vzhledem k tomu, že kupní cena, za kterou majoritní akcionář nabyl akcie Společnosti v průběhu roku 2025, je vyšší, než je hodnota daná metodou KČV, v souladu s platnou judikaturou představuje právě tato částka, tedy kupní cena, odhad hodnoty Předmětu ocenění, tedy hodnoty 1 ks akcie Společnosti pro účely stanovení výše přiměřeného protiplnění.</w:t>
            </w:r>
          </w:p>
          <w:p w14:paraId="48217A53" w14:textId="0660B795" w:rsidR="00197A3A" w:rsidRPr="00EE049E" w:rsidRDefault="00197A3A" w:rsidP="00197A3A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49E">
              <w:rPr>
                <w:rFonts w:ascii="Arial" w:hAnsi="Arial" w:cs="Arial"/>
                <w:i/>
                <w:iCs/>
                <w:sz w:val="20"/>
                <w:szCs w:val="20"/>
              </w:rPr>
              <w:t>GT stanovila na základě tohoto znaleckého posudku hodnotu 1 ks akcie ve Společnosti pomocí metody KČV ve výši 12,96 Kč. Vzhledem k tomu, že kupní cena, za kterou majoritní akcionář nabyl akcie Společnosti v průběhu roku 2025, je vyšší, než je hodnota daná metodou KČV, v souladu s platnou judikaturou představuje právě tato částka, tedy kupní cena, odhad hodnoty Předmětu ocenění, tedy hodnoty 1 ks akcie Společnosti pro účely stanovení výše přiměřeného protiplnění.</w:t>
            </w:r>
            <w:r w:rsidR="00EE049E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</w:p>
          <w:p w14:paraId="6A1083F6" w14:textId="6BCCC5A3" w:rsidR="00C97320" w:rsidRPr="00C97320" w:rsidRDefault="00C97320" w:rsidP="00C97320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320">
              <w:rPr>
                <w:rFonts w:ascii="Arial" w:hAnsi="Arial" w:cs="Arial"/>
                <w:sz w:val="20"/>
                <w:szCs w:val="20"/>
              </w:rPr>
              <w:t>Správní rada Společnosti považuje navrženou výši protiplnění za přiměřenou.</w:t>
            </w:r>
          </w:p>
          <w:p w14:paraId="7DB3D0B5" w14:textId="0A9361EE" w:rsidR="00C97320" w:rsidRPr="00C97320" w:rsidRDefault="00C97320" w:rsidP="00C97320">
            <w:pPr>
              <w:pStyle w:val="textvnitnhopedpisu"/>
              <w:spacing w:after="200" w:line="30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320">
              <w:rPr>
                <w:rFonts w:ascii="Arial" w:hAnsi="Arial" w:cs="Arial"/>
                <w:sz w:val="20"/>
                <w:szCs w:val="20"/>
              </w:rPr>
              <w:t xml:space="preserve">Společnost upozorňuje </w:t>
            </w:r>
            <w:r w:rsidR="00EE049E">
              <w:rPr>
                <w:rFonts w:ascii="Arial" w:hAnsi="Arial" w:cs="Arial"/>
                <w:sz w:val="20"/>
                <w:szCs w:val="20"/>
              </w:rPr>
              <w:t xml:space="preserve">a vyzývá </w:t>
            </w:r>
            <w:r w:rsidRPr="00C97320">
              <w:rPr>
                <w:rFonts w:ascii="Arial" w:hAnsi="Arial" w:cs="Arial"/>
                <w:sz w:val="20"/>
                <w:szCs w:val="20"/>
              </w:rPr>
              <w:t xml:space="preserve">vlastníky zastavených účastnických cenných papírů, aby bez zbytečného odkladu poté, co se dozvěděli o svolání valné hromady, sdělili Společnosti skutečnost zastavení a osobu zástavního věřitele. Společnost touto cestou vyzývá zástavní věřitele, aby Společnosti sdělili existenci zástavního práva k účastnickým cenným papírům vydaným Společností, </w:t>
            </w:r>
          </w:p>
          <w:p w14:paraId="22D66722" w14:textId="23D2DF49" w:rsidR="00882C21" w:rsidRPr="00772B17" w:rsidRDefault="00882C21" w:rsidP="00772B17">
            <w:pPr>
              <w:pStyle w:val="textvnitnhopedpisu"/>
              <w:spacing w:after="200" w:line="300" w:lineRule="auto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F5361" w14:paraId="78FDBC8B" w14:textId="77777777" w:rsidTr="00EF5361">
        <w:tc>
          <w:tcPr>
            <w:tcW w:w="9060" w:type="dxa"/>
          </w:tcPr>
          <w:p w14:paraId="7EDDA1C5" w14:textId="77777777" w:rsidR="001B1346" w:rsidRPr="009427D1" w:rsidRDefault="001B1346" w:rsidP="001B1346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27D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Veba</w:t>
            </w:r>
            <w:proofErr w:type="spellEnd"/>
            <w:r w:rsidRPr="00942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7D1">
              <w:rPr>
                <w:rFonts w:ascii="Arial" w:hAnsi="Arial" w:cs="Arial"/>
                <w:b/>
                <w:bCs/>
                <w:sz w:val="20"/>
                <w:szCs w:val="20"/>
              </w:rPr>
              <w:t>Bazin</w:t>
            </w:r>
            <w:proofErr w:type="spellEnd"/>
            <w:r w:rsidRPr="00942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27D1">
              <w:rPr>
                <w:rFonts w:ascii="Arial" w:hAnsi="Arial" w:cs="Arial"/>
                <w:b/>
                <w:bCs/>
                <w:sz w:val="20"/>
                <w:szCs w:val="20"/>
              </w:rPr>
              <w:t>Riche</w:t>
            </w:r>
            <w:proofErr w:type="spellEnd"/>
            <w:r w:rsidRPr="009427D1"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  <w:p w14:paraId="5C530BEF" w14:textId="57B1537D" w:rsidR="00EF5361" w:rsidRPr="00EF5361" w:rsidRDefault="001B1346" w:rsidP="00EF5361">
            <w:pPr>
              <w:tabs>
                <w:tab w:val="left" w:pos="1134"/>
              </w:tabs>
              <w:spacing w:line="30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7D1">
              <w:rPr>
                <w:rFonts w:ascii="Arial" w:hAnsi="Arial" w:cs="Arial"/>
                <w:color w:val="000000"/>
                <w:sz w:val="20"/>
                <w:szCs w:val="20"/>
              </w:rPr>
              <w:t xml:space="preserve">Otakar </w:t>
            </w:r>
            <w:proofErr w:type="spellStart"/>
            <w:r w:rsidRPr="009427D1">
              <w:rPr>
                <w:rFonts w:ascii="Arial" w:hAnsi="Arial" w:cs="Arial"/>
                <w:color w:val="000000"/>
                <w:sz w:val="20"/>
                <w:szCs w:val="20"/>
              </w:rPr>
              <w:t>Moťka</w:t>
            </w:r>
            <w:proofErr w:type="spellEnd"/>
            <w:r w:rsidRPr="009427D1">
              <w:rPr>
                <w:rFonts w:ascii="Arial" w:hAnsi="Arial" w:cs="Arial"/>
                <w:color w:val="000000"/>
                <w:sz w:val="20"/>
                <w:szCs w:val="20"/>
              </w:rPr>
              <w:t>, předseda správní rady</w:t>
            </w:r>
            <w:r w:rsidR="002F11C7">
              <w:rPr>
                <w:rFonts w:ascii="Arial" w:hAnsi="Arial" w:cs="Arial"/>
                <w:color w:val="000000"/>
                <w:sz w:val="20"/>
                <w:szCs w:val="20"/>
              </w:rPr>
              <w:t xml:space="preserve"> v.r.</w:t>
            </w:r>
          </w:p>
        </w:tc>
      </w:tr>
    </w:tbl>
    <w:p w14:paraId="72FCD8EF" w14:textId="5A809FC0" w:rsidR="00C36A73" w:rsidRPr="0089718F" w:rsidRDefault="00C36A73" w:rsidP="0089718F">
      <w:pPr>
        <w:tabs>
          <w:tab w:val="center" w:pos="7740"/>
        </w:tabs>
        <w:spacing w:after="210" w:line="300" w:lineRule="auto"/>
        <w:rPr>
          <w:rFonts w:ascii="Arial" w:hAnsi="Arial" w:cs="Arial"/>
          <w:color w:val="000000"/>
          <w:sz w:val="20"/>
          <w:szCs w:val="20"/>
        </w:rPr>
      </w:pPr>
    </w:p>
    <w:sectPr w:rsidR="00C36A73" w:rsidRPr="0089718F" w:rsidSect="008E7ED2"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3FB2" w14:textId="77777777" w:rsidR="006149EA" w:rsidRDefault="006149EA">
      <w:r>
        <w:separator/>
      </w:r>
    </w:p>
  </w:endnote>
  <w:endnote w:type="continuationSeparator" w:id="0">
    <w:p w14:paraId="75308587" w14:textId="77777777" w:rsidR="006149EA" w:rsidRDefault="0061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B545" w14:textId="77777777" w:rsidR="006149EA" w:rsidRDefault="006149EA">
      <w:r>
        <w:separator/>
      </w:r>
    </w:p>
  </w:footnote>
  <w:footnote w:type="continuationSeparator" w:id="0">
    <w:p w14:paraId="2DEFB203" w14:textId="77777777" w:rsidR="006149EA" w:rsidRDefault="0061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763"/>
    <w:multiLevelType w:val="hybridMultilevel"/>
    <w:tmpl w:val="63FC3AF0"/>
    <w:lvl w:ilvl="0" w:tplc="9916690A">
      <w:start w:val="1"/>
      <w:numFmt w:val="decimal"/>
      <w:lvlText w:val="%1."/>
      <w:lvlJc w:val="left"/>
      <w:pPr>
        <w:tabs>
          <w:tab w:val="num" w:pos="-1058"/>
        </w:tabs>
        <w:ind w:left="-105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38"/>
        </w:tabs>
        <w:ind w:left="-3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2"/>
        </w:tabs>
        <w:ind w:left="3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02"/>
        </w:tabs>
        <w:ind w:left="11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22"/>
        </w:tabs>
        <w:ind w:left="18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42"/>
        </w:tabs>
        <w:ind w:left="25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62"/>
        </w:tabs>
        <w:ind w:left="32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82"/>
        </w:tabs>
        <w:ind w:left="39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02"/>
        </w:tabs>
        <w:ind w:left="4702" w:hanging="180"/>
      </w:pPr>
    </w:lvl>
  </w:abstractNum>
  <w:abstractNum w:abstractNumId="1" w15:restartNumberingAfterBreak="0">
    <w:nsid w:val="05776239"/>
    <w:multiLevelType w:val="hybridMultilevel"/>
    <w:tmpl w:val="8AB25A5E"/>
    <w:lvl w:ilvl="0" w:tplc="98E043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132813"/>
    <w:multiLevelType w:val="hybridMultilevel"/>
    <w:tmpl w:val="0960EC4A"/>
    <w:lvl w:ilvl="0" w:tplc="62BE8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D7B6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4B2C67"/>
    <w:multiLevelType w:val="hybridMultilevel"/>
    <w:tmpl w:val="59962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F421B"/>
    <w:multiLevelType w:val="hybridMultilevel"/>
    <w:tmpl w:val="41A6CA1E"/>
    <w:lvl w:ilvl="0" w:tplc="35AC84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39C5"/>
    <w:multiLevelType w:val="hybridMultilevel"/>
    <w:tmpl w:val="8EFE18C8"/>
    <w:lvl w:ilvl="0" w:tplc="25D6D8BE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887D13"/>
    <w:multiLevelType w:val="hybridMultilevel"/>
    <w:tmpl w:val="2696A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327324"/>
    <w:multiLevelType w:val="hybridMultilevel"/>
    <w:tmpl w:val="0CEADA5C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92D5D20"/>
    <w:multiLevelType w:val="hybridMultilevel"/>
    <w:tmpl w:val="DC183D4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E20FE"/>
    <w:multiLevelType w:val="hybridMultilevel"/>
    <w:tmpl w:val="A2E845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F40A9"/>
    <w:multiLevelType w:val="singleLevel"/>
    <w:tmpl w:val="862602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FA3220B"/>
    <w:multiLevelType w:val="hybridMultilevel"/>
    <w:tmpl w:val="83721FE8"/>
    <w:lvl w:ilvl="0" w:tplc="A12E11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F21E9D"/>
    <w:multiLevelType w:val="hybridMultilevel"/>
    <w:tmpl w:val="5CC8C1D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2DA6717"/>
    <w:multiLevelType w:val="hybridMultilevel"/>
    <w:tmpl w:val="2054AB0E"/>
    <w:lvl w:ilvl="0" w:tplc="1F2666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576505">
    <w:abstractNumId w:val="3"/>
  </w:num>
  <w:num w:numId="2" w16cid:durableId="1838886898">
    <w:abstractNumId w:val="4"/>
  </w:num>
  <w:num w:numId="3" w16cid:durableId="1144783303">
    <w:abstractNumId w:val="10"/>
  </w:num>
  <w:num w:numId="4" w16cid:durableId="1441486898">
    <w:abstractNumId w:val="9"/>
  </w:num>
  <w:num w:numId="5" w16cid:durableId="1603953969">
    <w:abstractNumId w:val="7"/>
  </w:num>
  <w:num w:numId="6" w16cid:durableId="653411798">
    <w:abstractNumId w:val="11"/>
  </w:num>
  <w:num w:numId="7" w16cid:durableId="1519584903">
    <w:abstractNumId w:val="0"/>
  </w:num>
  <w:num w:numId="8" w16cid:durableId="689066550">
    <w:abstractNumId w:val="14"/>
  </w:num>
  <w:num w:numId="9" w16cid:durableId="62916165">
    <w:abstractNumId w:val="12"/>
  </w:num>
  <w:num w:numId="10" w16cid:durableId="103498722">
    <w:abstractNumId w:val="13"/>
  </w:num>
  <w:num w:numId="11" w16cid:durableId="743331266">
    <w:abstractNumId w:val="1"/>
  </w:num>
  <w:num w:numId="12" w16cid:durableId="1646356760">
    <w:abstractNumId w:val="6"/>
  </w:num>
  <w:num w:numId="13" w16cid:durableId="1424643512">
    <w:abstractNumId w:val="2"/>
  </w:num>
  <w:num w:numId="14" w16cid:durableId="276569613">
    <w:abstractNumId w:val="5"/>
  </w:num>
  <w:num w:numId="15" w16cid:durableId="413205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46"/>
    <w:rsid w:val="00002177"/>
    <w:rsid w:val="000058BB"/>
    <w:rsid w:val="000078F3"/>
    <w:rsid w:val="00010C39"/>
    <w:rsid w:val="00011BC2"/>
    <w:rsid w:val="0002386A"/>
    <w:rsid w:val="00024151"/>
    <w:rsid w:val="000266B6"/>
    <w:rsid w:val="00046C86"/>
    <w:rsid w:val="00053BF2"/>
    <w:rsid w:val="000542E0"/>
    <w:rsid w:val="0007047A"/>
    <w:rsid w:val="0007288C"/>
    <w:rsid w:val="00093109"/>
    <w:rsid w:val="000971AD"/>
    <w:rsid w:val="000C2645"/>
    <w:rsid w:val="000C5DA1"/>
    <w:rsid w:val="000C7224"/>
    <w:rsid w:val="000D5890"/>
    <w:rsid w:val="000E19F7"/>
    <w:rsid w:val="000E427A"/>
    <w:rsid w:val="000F122D"/>
    <w:rsid w:val="000F6264"/>
    <w:rsid w:val="00116149"/>
    <w:rsid w:val="00117E99"/>
    <w:rsid w:val="00141307"/>
    <w:rsid w:val="00141C23"/>
    <w:rsid w:val="0014509D"/>
    <w:rsid w:val="00145C39"/>
    <w:rsid w:val="00150800"/>
    <w:rsid w:val="00153B88"/>
    <w:rsid w:val="00164934"/>
    <w:rsid w:val="00165EC0"/>
    <w:rsid w:val="001712CB"/>
    <w:rsid w:val="00172B46"/>
    <w:rsid w:val="0017601D"/>
    <w:rsid w:val="00177D8C"/>
    <w:rsid w:val="001856A8"/>
    <w:rsid w:val="00197A3A"/>
    <w:rsid w:val="001A69E9"/>
    <w:rsid w:val="001A7B8F"/>
    <w:rsid w:val="001B1040"/>
    <w:rsid w:val="001B1346"/>
    <w:rsid w:val="001B4787"/>
    <w:rsid w:val="001B768F"/>
    <w:rsid w:val="001B7EFC"/>
    <w:rsid w:val="001C0E85"/>
    <w:rsid w:val="001C42EA"/>
    <w:rsid w:val="001E4EBB"/>
    <w:rsid w:val="001E7664"/>
    <w:rsid w:val="001F1FA3"/>
    <w:rsid w:val="0020288F"/>
    <w:rsid w:val="00207E59"/>
    <w:rsid w:val="00210B45"/>
    <w:rsid w:val="00224495"/>
    <w:rsid w:val="00232459"/>
    <w:rsid w:val="0023599F"/>
    <w:rsid w:val="00245C21"/>
    <w:rsid w:val="00251755"/>
    <w:rsid w:val="00264E3B"/>
    <w:rsid w:val="00267FFD"/>
    <w:rsid w:val="002711C3"/>
    <w:rsid w:val="002835EE"/>
    <w:rsid w:val="002875E7"/>
    <w:rsid w:val="0029687F"/>
    <w:rsid w:val="00297372"/>
    <w:rsid w:val="002B229B"/>
    <w:rsid w:val="002D4956"/>
    <w:rsid w:val="002E03DA"/>
    <w:rsid w:val="002E1FA4"/>
    <w:rsid w:val="002E7652"/>
    <w:rsid w:val="002F11C7"/>
    <w:rsid w:val="002F602C"/>
    <w:rsid w:val="00312A46"/>
    <w:rsid w:val="00323D5E"/>
    <w:rsid w:val="00325A74"/>
    <w:rsid w:val="00325F27"/>
    <w:rsid w:val="0032777A"/>
    <w:rsid w:val="0033160C"/>
    <w:rsid w:val="00332683"/>
    <w:rsid w:val="00344711"/>
    <w:rsid w:val="00344A09"/>
    <w:rsid w:val="00351203"/>
    <w:rsid w:val="00353622"/>
    <w:rsid w:val="00362C5E"/>
    <w:rsid w:val="00375BC4"/>
    <w:rsid w:val="003B734D"/>
    <w:rsid w:val="003C7458"/>
    <w:rsid w:val="003E0461"/>
    <w:rsid w:val="00402E0C"/>
    <w:rsid w:val="00404816"/>
    <w:rsid w:val="00410537"/>
    <w:rsid w:val="004107AF"/>
    <w:rsid w:val="00420370"/>
    <w:rsid w:val="00424988"/>
    <w:rsid w:val="00430DB3"/>
    <w:rsid w:val="00445C1A"/>
    <w:rsid w:val="00465711"/>
    <w:rsid w:val="004700DB"/>
    <w:rsid w:val="00476134"/>
    <w:rsid w:val="00476379"/>
    <w:rsid w:val="00480612"/>
    <w:rsid w:val="0048524B"/>
    <w:rsid w:val="00485E79"/>
    <w:rsid w:val="00486177"/>
    <w:rsid w:val="00487FFA"/>
    <w:rsid w:val="00490450"/>
    <w:rsid w:val="004B5878"/>
    <w:rsid w:val="004C359F"/>
    <w:rsid w:val="004C426C"/>
    <w:rsid w:val="004C4566"/>
    <w:rsid w:val="004E0765"/>
    <w:rsid w:val="004E24C8"/>
    <w:rsid w:val="004E2EF4"/>
    <w:rsid w:val="004E51C3"/>
    <w:rsid w:val="004E5E2D"/>
    <w:rsid w:val="004F2CE9"/>
    <w:rsid w:val="004F2DE5"/>
    <w:rsid w:val="00510EB8"/>
    <w:rsid w:val="005224F0"/>
    <w:rsid w:val="0053226D"/>
    <w:rsid w:val="005332A4"/>
    <w:rsid w:val="00533D3C"/>
    <w:rsid w:val="005412B4"/>
    <w:rsid w:val="00550950"/>
    <w:rsid w:val="00552D86"/>
    <w:rsid w:val="00554189"/>
    <w:rsid w:val="00564EC5"/>
    <w:rsid w:val="00583375"/>
    <w:rsid w:val="005958A4"/>
    <w:rsid w:val="005A6ABD"/>
    <w:rsid w:val="005B179F"/>
    <w:rsid w:val="005B46D9"/>
    <w:rsid w:val="005B7A69"/>
    <w:rsid w:val="005C7D56"/>
    <w:rsid w:val="005D262A"/>
    <w:rsid w:val="005E04EE"/>
    <w:rsid w:val="005E4DD4"/>
    <w:rsid w:val="005E5698"/>
    <w:rsid w:val="005E598D"/>
    <w:rsid w:val="00600AF7"/>
    <w:rsid w:val="00603D62"/>
    <w:rsid w:val="00612015"/>
    <w:rsid w:val="006149EA"/>
    <w:rsid w:val="00623982"/>
    <w:rsid w:val="00630D92"/>
    <w:rsid w:val="00634892"/>
    <w:rsid w:val="00635DE8"/>
    <w:rsid w:val="00663694"/>
    <w:rsid w:val="00696033"/>
    <w:rsid w:val="006974CB"/>
    <w:rsid w:val="006A166E"/>
    <w:rsid w:val="006A7AB5"/>
    <w:rsid w:val="006B0D50"/>
    <w:rsid w:val="006B3CB1"/>
    <w:rsid w:val="006C09DC"/>
    <w:rsid w:val="006D3113"/>
    <w:rsid w:val="006D6F9D"/>
    <w:rsid w:val="006E490A"/>
    <w:rsid w:val="006F1553"/>
    <w:rsid w:val="007018AC"/>
    <w:rsid w:val="007105BE"/>
    <w:rsid w:val="00711C8B"/>
    <w:rsid w:val="00725C20"/>
    <w:rsid w:val="00727FF3"/>
    <w:rsid w:val="00736576"/>
    <w:rsid w:val="00744D2F"/>
    <w:rsid w:val="00756160"/>
    <w:rsid w:val="00772B17"/>
    <w:rsid w:val="007756D7"/>
    <w:rsid w:val="00782CF5"/>
    <w:rsid w:val="007831CD"/>
    <w:rsid w:val="00783BDC"/>
    <w:rsid w:val="0078485F"/>
    <w:rsid w:val="00786997"/>
    <w:rsid w:val="00790CBD"/>
    <w:rsid w:val="007940E0"/>
    <w:rsid w:val="00797C25"/>
    <w:rsid w:val="007A3F27"/>
    <w:rsid w:val="007A71D1"/>
    <w:rsid w:val="007C178A"/>
    <w:rsid w:val="007C2612"/>
    <w:rsid w:val="007C77C9"/>
    <w:rsid w:val="007D701B"/>
    <w:rsid w:val="007E2854"/>
    <w:rsid w:val="007E3820"/>
    <w:rsid w:val="007E712C"/>
    <w:rsid w:val="007F00FE"/>
    <w:rsid w:val="007F3590"/>
    <w:rsid w:val="007F507D"/>
    <w:rsid w:val="0080711B"/>
    <w:rsid w:val="008251D3"/>
    <w:rsid w:val="008306D9"/>
    <w:rsid w:val="00832474"/>
    <w:rsid w:val="008369B8"/>
    <w:rsid w:val="00844F9B"/>
    <w:rsid w:val="00852A3F"/>
    <w:rsid w:val="008559A7"/>
    <w:rsid w:val="008566BC"/>
    <w:rsid w:val="0086438C"/>
    <w:rsid w:val="008676F8"/>
    <w:rsid w:val="00882A5D"/>
    <w:rsid w:val="00882C21"/>
    <w:rsid w:val="0088533C"/>
    <w:rsid w:val="00887715"/>
    <w:rsid w:val="0089359E"/>
    <w:rsid w:val="0089718F"/>
    <w:rsid w:val="008A0021"/>
    <w:rsid w:val="008A7DF7"/>
    <w:rsid w:val="008C1F50"/>
    <w:rsid w:val="008C22B0"/>
    <w:rsid w:val="008E298D"/>
    <w:rsid w:val="008E7ED2"/>
    <w:rsid w:val="008F1A8D"/>
    <w:rsid w:val="008F29C2"/>
    <w:rsid w:val="00903F83"/>
    <w:rsid w:val="00904FA6"/>
    <w:rsid w:val="00907251"/>
    <w:rsid w:val="00920E6C"/>
    <w:rsid w:val="00926E19"/>
    <w:rsid w:val="00940FBE"/>
    <w:rsid w:val="009427D1"/>
    <w:rsid w:val="00947BF2"/>
    <w:rsid w:val="00957121"/>
    <w:rsid w:val="00971F49"/>
    <w:rsid w:val="00976FB9"/>
    <w:rsid w:val="00982F72"/>
    <w:rsid w:val="00995FD2"/>
    <w:rsid w:val="00996A57"/>
    <w:rsid w:val="009971AC"/>
    <w:rsid w:val="009A7788"/>
    <w:rsid w:val="009B5A11"/>
    <w:rsid w:val="009B6A54"/>
    <w:rsid w:val="009C65C0"/>
    <w:rsid w:val="009C6EBC"/>
    <w:rsid w:val="009D7A31"/>
    <w:rsid w:val="009E666F"/>
    <w:rsid w:val="009F4F8B"/>
    <w:rsid w:val="009F61DC"/>
    <w:rsid w:val="00A17299"/>
    <w:rsid w:val="00A176A0"/>
    <w:rsid w:val="00A17F72"/>
    <w:rsid w:val="00A31CEB"/>
    <w:rsid w:val="00A4250C"/>
    <w:rsid w:val="00A4743F"/>
    <w:rsid w:val="00A47765"/>
    <w:rsid w:val="00A506F9"/>
    <w:rsid w:val="00A57221"/>
    <w:rsid w:val="00A669B5"/>
    <w:rsid w:val="00A67987"/>
    <w:rsid w:val="00A83EF3"/>
    <w:rsid w:val="00A860C4"/>
    <w:rsid w:val="00A94B3F"/>
    <w:rsid w:val="00AA5E4C"/>
    <w:rsid w:val="00AA64DA"/>
    <w:rsid w:val="00AB2A23"/>
    <w:rsid w:val="00AB3C11"/>
    <w:rsid w:val="00AC36C7"/>
    <w:rsid w:val="00AD2CCD"/>
    <w:rsid w:val="00AD5520"/>
    <w:rsid w:val="00AE6C29"/>
    <w:rsid w:val="00AF6474"/>
    <w:rsid w:val="00AF70F6"/>
    <w:rsid w:val="00B04C54"/>
    <w:rsid w:val="00B1168A"/>
    <w:rsid w:val="00B134D7"/>
    <w:rsid w:val="00B302F7"/>
    <w:rsid w:val="00B31083"/>
    <w:rsid w:val="00B3319C"/>
    <w:rsid w:val="00B40B41"/>
    <w:rsid w:val="00B42E00"/>
    <w:rsid w:val="00B438BD"/>
    <w:rsid w:val="00B47825"/>
    <w:rsid w:val="00B6495C"/>
    <w:rsid w:val="00B721E2"/>
    <w:rsid w:val="00B75ACB"/>
    <w:rsid w:val="00B82B9A"/>
    <w:rsid w:val="00BB1C2E"/>
    <w:rsid w:val="00BB6140"/>
    <w:rsid w:val="00BC2D36"/>
    <w:rsid w:val="00BC3F34"/>
    <w:rsid w:val="00BC4A37"/>
    <w:rsid w:val="00BC7FA0"/>
    <w:rsid w:val="00BD017E"/>
    <w:rsid w:val="00BE51F0"/>
    <w:rsid w:val="00BF7E13"/>
    <w:rsid w:val="00C012E4"/>
    <w:rsid w:val="00C168F9"/>
    <w:rsid w:val="00C20DD8"/>
    <w:rsid w:val="00C214AB"/>
    <w:rsid w:val="00C3059C"/>
    <w:rsid w:val="00C36674"/>
    <w:rsid w:val="00C36A73"/>
    <w:rsid w:val="00C50107"/>
    <w:rsid w:val="00C63206"/>
    <w:rsid w:val="00C71195"/>
    <w:rsid w:val="00C756BA"/>
    <w:rsid w:val="00C83478"/>
    <w:rsid w:val="00C87149"/>
    <w:rsid w:val="00C874BA"/>
    <w:rsid w:val="00C87D57"/>
    <w:rsid w:val="00C91AC8"/>
    <w:rsid w:val="00C91FB3"/>
    <w:rsid w:val="00C97320"/>
    <w:rsid w:val="00CA5EE5"/>
    <w:rsid w:val="00CB1129"/>
    <w:rsid w:val="00CB30F0"/>
    <w:rsid w:val="00CC6913"/>
    <w:rsid w:val="00CD2CC8"/>
    <w:rsid w:val="00CD4AC5"/>
    <w:rsid w:val="00CD4B44"/>
    <w:rsid w:val="00CF61AE"/>
    <w:rsid w:val="00D065C1"/>
    <w:rsid w:val="00D10B46"/>
    <w:rsid w:val="00D171A4"/>
    <w:rsid w:val="00D20E6A"/>
    <w:rsid w:val="00D32568"/>
    <w:rsid w:val="00D36744"/>
    <w:rsid w:val="00D41DC2"/>
    <w:rsid w:val="00D4407F"/>
    <w:rsid w:val="00D46DFB"/>
    <w:rsid w:val="00D50497"/>
    <w:rsid w:val="00D54E4D"/>
    <w:rsid w:val="00D565EB"/>
    <w:rsid w:val="00D625D0"/>
    <w:rsid w:val="00D70812"/>
    <w:rsid w:val="00D75B27"/>
    <w:rsid w:val="00D863F4"/>
    <w:rsid w:val="00DA3343"/>
    <w:rsid w:val="00DB73DC"/>
    <w:rsid w:val="00DC4098"/>
    <w:rsid w:val="00DE6D18"/>
    <w:rsid w:val="00E03D34"/>
    <w:rsid w:val="00E06114"/>
    <w:rsid w:val="00E15B5E"/>
    <w:rsid w:val="00E22F98"/>
    <w:rsid w:val="00E2772C"/>
    <w:rsid w:val="00E32BA0"/>
    <w:rsid w:val="00E35A14"/>
    <w:rsid w:val="00E374DF"/>
    <w:rsid w:val="00E61399"/>
    <w:rsid w:val="00E705BF"/>
    <w:rsid w:val="00E7405B"/>
    <w:rsid w:val="00E745BD"/>
    <w:rsid w:val="00E827EF"/>
    <w:rsid w:val="00E87F0F"/>
    <w:rsid w:val="00E93B41"/>
    <w:rsid w:val="00EA15D3"/>
    <w:rsid w:val="00EA2485"/>
    <w:rsid w:val="00EA3F6A"/>
    <w:rsid w:val="00EB5DEA"/>
    <w:rsid w:val="00EC69AD"/>
    <w:rsid w:val="00EE049E"/>
    <w:rsid w:val="00EE3A7D"/>
    <w:rsid w:val="00EF5361"/>
    <w:rsid w:val="00F109A3"/>
    <w:rsid w:val="00F1780B"/>
    <w:rsid w:val="00F21290"/>
    <w:rsid w:val="00F23859"/>
    <w:rsid w:val="00F4300C"/>
    <w:rsid w:val="00F62E11"/>
    <w:rsid w:val="00F636CF"/>
    <w:rsid w:val="00F71A33"/>
    <w:rsid w:val="00F726D4"/>
    <w:rsid w:val="00F72F58"/>
    <w:rsid w:val="00F8124B"/>
    <w:rsid w:val="00FA580B"/>
    <w:rsid w:val="00FA5FF5"/>
    <w:rsid w:val="00FB693A"/>
    <w:rsid w:val="00FC2137"/>
    <w:rsid w:val="00FC5AF7"/>
    <w:rsid w:val="00FF2F08"/>
    <w:rsid w:val="00FF33E3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F2930"/>
  <w15:chartTrackingRefBased/>
  <w15:docId w15:val="{210234AE-3A39-46EF-86C3-1268965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2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721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rsid w:val="00312A46"/>
    <w:pPr>
      <w:keepNext/>
      <w:tabs>
        <w:tab w:val="left" w:pos="1134"/>
      </w:tabs>
      <w:spacing w:line="280" w:lineRule="atLeast"/>
      <w:jc w:val="center"/>
      <w:outlineLvl w:val="3"/>
    </w:pPr>
    <w:rPr>
      <w:b/>
      <w:sz w:val="22"/>
      <w:szCs w:val="20"/>
    </w:rPr>
  </w:style>
  <w:style w:type="paragraph" w:styleId="Nadpis5">
    <w:name w:val="heading 5"/>
    <w:basedOn w:val="Normln"/>
    <w:next w:val="Normln"/>
    <w:qFormat/>
    <w:rsid w:val="006348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2A4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Zkladntext2">
    <w:name w:val="Body Text 2"/>
    <w:basedOn w:val="Normln"/>
    <w:rsid w:val="00312A46"/>
    <w:pPr>
      <w:tabs>
        <w:tab w:val="left" w:pos="1134"/>
      </w:tabs>
      <w:spacing w:line="280" w:lineRule="atLeast"/>
      <w:jc w:val="both"/>
    </w:pPr>
    <w:rPr>
      <w:sz w:val="22"/>
      <w:szCs w:val="20"/>
    </w:rPr>
  </w:style>
  <w:style w:type="paragraph" w:styleId="FormtovanvHTML">
    <w:name w:val="HTML Preformatted"/>
    <w:basedOn w:val="Normln"/>
    <w:rsid w:val="00701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5"/>
      <w:szCs w:val="15"/>
    </w:rPr>
  </w:style>
  <w:style w:type="paragraph" w:styleId="Zpat">
    <w:name w:val="footer"/>
    <w:basedOn w:val="Normln"/>
    <w:rsid w:val="001E7664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947BF2"/>
  </w:style>
  <w:style w:type="paragraph" w:customStyle="1" w:styleId="textvnitnhopedpisu">
    <w:name w:val="text vnitřního předpisu"/>
    <w:basedOn w:val="Normln"/>
    <w:rsid w:val="00634892"/>
  </w:style>
  <w:style w:type="character" w:customStyle="1" w:styleId="platne">
    <w:name w:val="platne"/>
    <w:basedOn w:val="Standardnpsmoodstavce"/>
    <w:rsid w:val="00634892"/>
  </w:style>
  <w:style w:type="table" w:styleId="Mkatabulky">
    <w:name w:val="Table Grid"/>
    <w:basedOn w:val="Normlntabulka"/>
    <w:rsid w:val="0043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325A74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603D62"/>
    <w:pPr>
      <w:tabs>
        <w:tab w:val="left" w:pos="765"/>
      </w:tabs>
      <w:jc w:val="both"/>
    </w:pPr>
    <w:rPr>
      <w:rFonts w:ascii="Arial" w:eastAsia="MS Mincho" w:hAnsi="Arial" w:cs="Arial"/>
      <w:bCs/>
      <w:sz w:val="20"/>
      <w:szCs w:val="20"/>
      <w:lang w:eastAsia="en-US"/>
    </w:rPr>
  </w:style>
  <w:style w:type="paragraph" w:customStyle="1" w:styleId="texte1x">
    <w:name w:val="texte 1.x"/>
    <w:basedOn w:val="Normln"/>
    <w:rsid w:val="00603D62"/>
    <w:pPr>
      <w:spacing w:before="120"/>
      <w:ind w:left="567"/>
      <w:jc w:val="both"/>
    </w:pPr>
    <w:rPr>
      <w:rFonts w:eastAsia="MS Mincho"/>
      <w:sz w:val="22"/>
      <w:szCs w:val="20"/>
      <w:lang w:val="en-GB" w:eastAsia="en-US"/>
    </w:rPr>
  </w:style>
  <w:style w:type="paragraph" w:customStyle="1" w:styleId="Podtitul">
    <w:name w:val="Podtitul"/>
    <w:basedOn w:val="Normln"/>
    <w:qFormat/>
    <w:rsid w:val="00603D62"/>
    <w:pPr>
      <w:jc w:val="center"/>
    </w:pPr>
    <w:rPr>
      <w:rFonts w:eastAsia="MS Mincho"/>
      <w:sz w:val="22"/>
      <w:szCs w:val="20"/>
      <w:lang w:eastAsia="en-US"/>
    </w:rPr>
  </w:style>
  <w:style w:type="paragraph" w:customStyle="1" w:styleId="Body">
    <w:name w:val="Body"/>
    <w:basedOn w:val="Normln"/>
    <w:rsid w:val="00603D62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character" w:styleId="Hypertextovodkaz">
    <w:name w:val="Hyperlink"/>
    <w:rsid w:val="008559A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C09DC"/>
    <w:pPr>
      <w:ind w:left="708"/>
    </w:pPr>
  </w:style>
  <w:style w:type="paragraph" w:styleId="Textbubliny">
    <w:name w:val="Balloon Text"/>
    <w:basedOn w:val="Normln"/>
    <w:link w:val="TextbublinyChar"/>
    <w:rsid w:val="00EE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E3A7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D625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625D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rsid w:val="00D625D0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4107AF"/>
    <w:pPr>
      <w:overflowPunct/>
      <w:autoSpaceDE/>
      <w:autoSpaceDN/>
      <w:adjustRightInd/>
      <w:jc w:val="left"/>
      <w:textAlignment w:val="auto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4107AF"/>
    <w:rPr>
      <w:b/>
      <w:bCs/>
      <w:lang w:val="en-US" w:eastAsia="en-US"/>
    </w:rPr>
  </w:style>
  <w:style w:type="character" w:customStyle="1" w:styleId="apple-converted-space">
    <w:name w:val="apple-converted-space"/>
    <w:rsid w:val="008251D3"/>
  </w:style>
  <w:style w:type="character" w:styleId="Zdraznn">
    <w:name w:val="Emphasis"/>
    <w:uiPriority w:val="20"/>
    <w:qFormat/>
    <w:rsid w:val="008251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B721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14509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E298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8E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012E4"/>
    <w:rPr>
      <w:sz w:val="24"/>
      <w:szCs w:val="24"/>
    </w:rPr>
  </w:style>
  <w:style w:type="paragraph" w:customStyle="1" w:styleId="Default">
    <w:name w:val="Default"/>
    <w:rsid w:val="00EE0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rsid w:val="00CD2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valier.cz/partne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Legal</dc:creator>
  <cp:keywords/>
  <cp:lastModifiedBy>Zemanová Tereza</cp:lastModifiedBy>
  <cp:revision>3</cp:revision>
  <dcterms:created xsi:type="dcterms:W3CDTF">2025-11-28T11:42:00Z</dcterms:created>
  <dcterms:modified xsi:type="dcterms:W3CDTF">2025-11-28T11:42:00Z</dcterms:modified>
</cp:coreProperties>
</file>